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40968" w14:textId="7A5241AC" w:rsidR="00F01E69" w:rsidRDefault="00076896" w:rsidP="005A71E2">
      <w:pPr>
        <w:tabs>
          <w:tab w:val="left" w:pos="5387"/>
        </w:tabs>
        <w:spacing w:line="276" w:lineRule="auto"/>
        <w:rPr>
          <w:sz w:val="22"/>
          <w:szCs w:val="22"/>
          <w:lang w:val="de-CH"/>
        </w:rPr>
      </w:pPr>
      <w:r w:rsidRPr="00EC3591">
        <w:rPr>
          <w:sz w:val="22"/>
          <w:szCs w:val="22"/>
          <w:lang w:val="de-CH"/>
        </w:rPr>
        <w:tab/>
      </w:r>
      <w:r w:rsidR="005A71E2">
        <w:rPr>
          <w:sz w:val="22"/>
          <w:szCs w:val="22"/>
          <w:lang w:val="de-CH"/>
        </w:rPr>
        <w:t>Bundesamt für Energie BFE</w:t>
      </w:r>
    </w:p>
    <w:p w14:paraId="4730D174" w14:textId="77777777" w:rsidR="008A6EC4" w:rsidRPr="00EC3591" w:rsidRDefault="008A6EC4" w:rsidP="00292C95">
      <w:pPr>
        <w:tabs>
          <w:tab w:val="left" w:pos="5387"/>
        </w:tabs>
        <w:spacing w:line="276" w:lineRule="auto"/>
        <w:rPr>
          <w:sz w:val="22"/>
          <w:szCs w:val="22"/>
          <w:lang w:val="de-CH"/>
        </w:rPr>
      </w:pPr>
      <w:r>
        <w:rPr>
          <w:sz w:val="22"/>
          <w:szCs w:val="22"/>
          <w:lang w:val="de-CH"/>
        </w:rPr>
        <w:tab/>
        <w:t>3003 Bern</w:t>
      </w:r>
    </w:p>
    <w:p w14:paraId="1A64D98A" w14:textId="51273D47" w:rsidR="009F487C" w:rsidRDefault="009F487C" w:rsidP="00292C95">
      <w:pPr>
        <w:tabs>
          <w:tab w:val="left" w:pos="5387"/>
        </w:tabs>
        <w:spacing w:line="276" w:lineRule="auto"/>
        <w:rPr>
          <w:sz w:val="22"/>
          <w:szCs w:val="22"/>
          <w:lang w:val="de-CH"/>
        </w:rPr>
      </w:pPr>
    </w:p>
    <w:p w14:paraId="6966B6AA" w14:textId="156DB133" w:rsidR="00A82273" w:rsidRDefault="00A82273" w:rsidP="00292C95">
      <w:pPr>
        <w:tabs>
          <w:tab w:val="left" w:pos="5387"/>
        </w:tabs>
        <w:spacing w:line="276" w:lineRule="auto"/>
        <w:rPr>
          <w:sz w:val="22"/>
          <w:szCs w:val="22"/>
          <w:lang w:val="de-CH"/>
        </w:rPr>
      </w:pPr>
      <w:r>
        <w:rPr>
          <w:sz w:val="22"/>
          <w:szCs w:val="22"/>
          <w:lang w:val="de-CH"/>
        </w:rPr>
        <w:tab/>
        <w:t>Per E-Mail an:</w:t>
      </w:r>
    </w:p>
    <w:p w14:paraId="2C33C047" w14:textId="013AF79E" w:rsidR="00A82273" w:rsidRDefault="00A82273" w:rsidP="00292C95">
      <w:pPr>
        <w:tabs>
          <w:tab w:val="left" w:pos="5387"/>
        </w:tabs>
        <w:spacing w:line="276" w:lineRule="auto"/>
        <w:rPr>
          <w:sz w:val="22"/>
          <w:szCs w:val="22"/>
          <w:lang w:val="de-CH"/>
        </w:rPr>
      </w:pPr>
      <w:r>
        <w:rPr>
          <w:sz w:val="22"/>
          <w:szCs w:val="22"/>
          <w:lang w:val="de-CH"/>
        </w:rPr>
        <w:tab/>
      </w:r>
      <w:r>
        <w:rPr>
          <w:bCs/>
          <w:spacing w:val="-2"/>
          <w:sz w:val="22"/>
          <w:szCs w:val="22"/>
        </w:rPr>
        <w:t>verordnungs</w:t>
      </w:r>
      <w:r w:rsidRPr="00C83BBF">
        <w:rPr>
          <w:bCs/>
          <w:spacing w:val="-2"/>
          <w:sz w:val="22"/>
          <w:szCs w:val="22"/>
        </w:rPr>
        <w:t>revisionen@bfe.admin.ch</w:t>
      </w:r>
    </w:p>
    <w:p w14:paraId="610E76AD" w14:textId="77777777" w:rsidR="007315B8" w:rsidRPr="00EC3591" w:rsidRDefault="007315B8" w:rsidP="00292C95">
      <w:pPr>
        <w:tabs>
          <w:tab w:val="left" w:pos="5387"/>
        </w:tabs>
        <w:spacing w:line="276" w:lineRule="auto"/>
        <w:rPr>
          <w:sz w:val="22"/>
          <w:szCs w:val="22"/>
          <w:lang w:val="de-CH"/>
        </w:rPr>
      </w:pPr>
    </w:p>
    <w:p w14:paraId="5AD894A1" w14:textId="074AAE82" w:rsidR="008A10FD" w:rsidRPr="00EC3591" w:rsidRDefault="00B1126B" w:rsidP="00F61D36">
      <w:pPr>
        <w:tabs>
          <w:tab w:val="left" w:pos="5387"/>
        </w:tabs>
        <w:spacing w:line="276" w:lineRule="auto"/>
        <w:ind w:left="5387"/>
        <w:rPr>
          <w:sz w:val="22"/>
          <w:szCs w:val="22"/>
          <w:lang w:val="de-CH"/>
        </w:rPr>
      </w:pPr>
      <w:r w:rsidRPr="00B1126B">
        <w:rPr>
          <w:sz w:val="22"/>
          <w:szCs w:val="22"/>
          <w:highlight w:val="yellow"/>
          <w:lang w:val="de-CH"/>
        </w:rPr>
        <w:t>Ort, Datum</w:t>
      </w:r>
      <w:r w:rsidRPr="00B1126B">
        <w:rPr>
          <w:sz w:val="22"/>
          <w:szCs w:val="22"/>
          <w:highlight w:val="yellow"/>
          <w:lang w:val="de-CH"/>
        </w:rPr>
        <w:br/>
        <w:t>spätestens 4.</w:t>
      </w:r>
      <w:r w:rsidR="00F61D36" w:rsidRPr="00B1126B">
        <w:rPr>
          <w:sz w:val="22"/>
          <w:szCs w:val="22"/>
          <w:highlight w:val="yellow"/>
          <w:lang w:val="de-CH"/>
        </w:rPr>
        <w:t xml:space="preserve"> </w:t>
      </w:r>
      <w:r w:rsidRPr="00B1126B">
        <w:rPr>
          <w:sz w:val="22"/>
          <w:szCs w:val="22"/>
          <w:highlight w:val="yellow"/>
          <w:lang w:val="de-CH"/>
        </w:rPr>
        <w:t>Okto</w:t>
      </w:r>
      <w:r w:rsidR="00097D1A" w:rsidRPr="00B1126B">
        <w:rPr>
          <w:sz w:val="22"/>
          <w:szCs w:val="22"/>
          <w:highlight w:val="yellow"/>
          <w:lang w:val="de-CH"/>
        </w:rPr>
        <w:t>ber</w:t>
      </w:r>
      <w:r w:rsidR="009F487C" w:rsidRPr="00B1126B">
        <w:rPr>
          <w:sz w:val="22"/>
          <w:szCs w:val="22"/>
          <w:highlight w:val="yellow"/>
          <w:lang w:val="de-CH"/>
        </w:rPr>
        <w:t xml:space="preserve"> </w:t>
      </w:r>
      <w:r w:rsidR="008A6EC4" w:rsidRPr="00B1126B">
        <w:rPr>
          <w:sz w:val="22"/>
          <w:szCs w:val="22"/>
          <w:highlight w:val="yellow"/>
          <w:lang w:val="de-CH"/>
        </w:rPr>
        <w:t>202</w:t>
      </w:r>
      <w:r w:rsidR="0097035B" w:rsidRPr="00B1126B">
        <w:rPr>
          <w:sz w:val="22"/>
          <w:szCs w:val="22"/>
          <w:highlight w:val="yellow"/>
          <w:lang w:val="de-CH"/>
        </w:rPr>
        <w:t>4</w:t>
      </w:r>
    </w:p>
    <w:p w14:paraId="1B4627F9" w14:textId="77777777" w:rsidR="00097D1A" w:rsidRPr="00EC3591" w:rsidRDefault="00097D1A" w:rsidP="00292C95">
      <w:pPr>
        <w:tabs>
          <w:tab w:val="left" w:pos="5387"/>
        </w:tabs>
        <w:spacing w:line="276" w:lineRule="auto"/>
        <w:rPr>
          <w:sz w:val="22"/>
          <w:szCs w:val="22"/>
          <w:lang w:val="de-CH"/>
        </w:rPr>
      </w:pPr>
    </w:p>
    <w:p w14:paraId="775AAB17" w14:textId="66523229" w:rsidR="0097035B" w:rsidRDefault="001F4FAC" w:rsidP="0097035B">
      <w:pPr>
        <w:spacing w:after="120" w:line="276" w:lineRule="auto"/>
        <w:rPr>
          <w:b/>
          <w:lang w:val="de-CH"/>
        </w:rPr>
      </w:pPr>
      <w:r>
        <w:rPr>
          <w:b/>
          <w:lang w:val="de-CH"/>
        </w:rPr>
        <w:t xml:space="preserve">Stellungnahme </w:t>
      </w:r>
      <w:r w:rsidR="003A753B">
        <w:rPr>
          <w:b/>
          <w:lang w:val="de-CH"/>
        </w:rPr>
        <w:t xml:space="preserve">zur </w:t>
      </w:r>
      <w:r w:rsidR="0097035B">
        <w:rPr>
          <w:b/>
          <w:lang w:val="de-CH"/>
        </w:rPr>
        <w:t xml:space="preserve">Vernehmlassung </w:t>
      </w:r>
      <w:proofErr w:type="spellStart"/>
      <w:r w:rsidR="0097035B">
        <w:rPr>
          <w:b/>
          <w:lang w:val="de-CH"/>
        </w:rPr>
        <w:t>Fedlex</w:t>
      </w:r>
      <w:proofErr w:type="spellEnd"/>
      <w:r w:rsidR="0097035B">
        <w:rPr>
          <w:b/>
          <w:lang w:val="de-CH"/>
        </w:rPr>
        <w:t xml:space="preserve"> 2024/</w:t>
      </w:r>
      <w:r w:rsidR="00F61D36">
        <w:rPr>
          <w:b/>
          <w:lang w:val="de-CH"/>
        </w:rPr>
        <w:t>53</w:t>
      </w:r>
      <w:r w:rsidR="0097035B">
        <w:rPr>
          <w:b/>
          <w:lang w:val="de-CH"/>
        </w:rPr>
        <w:t>:</w:t>
      </w:r>
    </w:p>
    <w:p w14:paraId="21A6490C" w14:textId="175D5F82" w:rsidR="00F61D36" w:rsidRPr="00EC3591" w:rsidRDefault="00F61D36" w:rsidP="001F4FAC">
      <w:pPr>
        <w:spacing w:line="276" w:lineRule="auto"/>
        <w:rPr>
          <w:b/>
          <w:lang w:val="de-CH"/>
        </w:rPr>
      </w:pPr>
      <w:r w:rsidRPr="00F61D36">
        <w:rPr>
          <w:b/>
          <w:lang w:val="de-CH"/>
        </w:rPr>
        <w:t>Revision der Stromversorgungsverordnung (Verzinsung des Kapitals im Stromnetz und in geförderten Anlagen zur Stromerzeugung aus erneuerbaren Energien): Vernehmlassung</w:t>
      </w:r>
    </w:p>
    <w:p w14:paraId="3C13A466" w14:textId="70AF4A90" w:rsidR="003A753B" w:rsidRDefault="003A753B" w:rsidP="007732C5">
      <w:pPr>
        <w:pBdr>
          <w:bottom w:val="single" w:sz="4" w:space="1" w:color="auto"/>
        </w:pBdr>
        <w:spacing w:line="276" w:lineRule="auto"/>
        <w:rPr>
          <w:sz w:val="22"/>
          <w:szCs w:val="22"/>
          <w:lang w:val="de-CH"/>
        </w:rPr>
      </w:pPr>
    </w:p>
    <w:p w14:paraId="1B0349EA" w14:textId="1A178D10" w:rsidR="007732C5" w:rsidRDefault="007732C5" w:rsidP="00292C95">
      <w:pPr>
        <w:spacing w:line="276" w:lineRule="auto"/>
        <w:rPr>
          <w:sz w:val="22"/>
          <w:szCs w:val="22"/>
          <w:lang w:val="de-CH"/>
        </w:rPr>
      </w:pPr>
    </w:p>
    <w:p w14:paraId="4A7000C1" w14:textId="77777777" w:rsidR="00F61D36" w:rsidRDefault="00F61D36" w:rsidP="00292C95">
      <w:pPr>
        <w:spacing w:line="276" w:lineRule="auto"/>
        <w:rPr>
          <w:sz w:val="22"/>
          <w:szCs w:val="22"/>
          <w:lang w:val="de-CH"/>
        </w:rPr>
      </w:pPr>
    </w:p>
    <w:p w14:paraId="1C999D05" w14:textId="40CAB967" w:rsidR="003A753B" w:rsidRPr="003A753B" w:rsidRDefault="00D15463" w:rsidP="003A753B">
      <w:pPr>
        <w:tabs>
          <w:tab w:val="left" w:pos="4678"/>
          <w:tab w:val="right" w:pos="9356"/>
        </w:tabs>
        <w:spacing w:after="120" w:line="300" w:lineRule="atLeast"/>
        <w:ind w:right="-1"/>
        <w:rPr>
          <w:rFonts w:eastAsia="SimSun"/>
          <w:bCs/>
          <w:sz w:val="22"/>
          <w:szCs w:val="22"/>
          <w:lang w:val="de-CH" w:eastAsia="de-CH"/>
        </w:rPr>
      </w:pPr>
      <w:r>
        <w:rPr>
          <w:rFonts w:eastAsia="SimSun"/>
          <w:bCs/>
          <w:sz w:val="22"/>
          <w:szCs w:val="22"/>
          <w:lang w:val="de-CH" w:eastAsia="de-CH"/>
        </w:rPr>
        <w:t>Geschätzte</w:t>
      </w:r>
      <w:r w:rsidR="003A753B" w:rsidRPr="003A753B">
        <w:rPr>
          <w:rFonts w:eastAsia="SimSun"/>
          <w:bCs/>
          <w:sz w:val="22"/>
          <w:szCs w:val="22"/>
          <w:lang w:val="de-CH" w:eastAsia="de-CH"/>
        </w:rPr>
        <w:t xml:space="preserve"> Damen und Herren</w:t>
      </w:r>
    </w:p>
    <w:p w14:paraId="41157CC6" w14:textId="77777777" w:rsidR="00F61D36" w:rsidRDefault="00F61D36" w:rsidP="00F61D36">
      <w:pPr>
        <w:spacing w:before="120"/>
        <w:rPr>
          <w:sz w:val="22"/>
          <w:szCs w:val="22"/>
          <w:lang w:val="de-CH"/>
        </w:rPr>
      </w:pPr>
      <w:r w:rsidRPr="00F61D36">
        <w:rPr>
          <w:sz w:val="22"/>
          <w:szCs w:val="22"/>
          <w:lang w:val="de-CH"/>
        </w:rPr>
        <w:t xml:space="preserve">Der </w:t>
      </w:r>
      <w:r w:rsidRPr="00F60751">
        <w:rPr>
          <w:sz w:val="22"/>
          <w:szCs w:val="22"/>
          <w:lang w:val="de-CH"/>
        </w:rPr>
        <w:t>Verband Aargau</w:t>
      </w:r>
      <w:r>
        <w:rPr>
          <w:sz w:val="22"/>
          <w:szCs w:val="22"/>
          <w:lang w:val="de-CH"/>
        </w:rPr>
        <w:t xml:space="preserve">ischer </w:t>
      </w:r>
      <w:r w:rsidRPr="00F60751">
        <w:rPr>
          <w:sz w:val="22"/>
          <w:szCs w:val="22"/>
          <w:lang w:val="de-CH"/>
        </w:rPr>
        <w:t xml:space="preserve">Stromversorger </w:t>
      </w:r>
      <w:r>
        <w:rPr>
          <w:sz w:val="22"/>
          <w:szCs w:val="22"/>
          <w:lang w:val="de-CH"/>
        </w:rPr>
        <w:t xml:space="preserve">(VAS) </w:t>
      </w:r>
      <w:r w:rsidRPr="00F61D36">
        <w:rPr>
          <w:sz w:val="22"/>
          <w:szCs w:val="22"/>
          <w:lang w:val="de-CH"/>
        </w:rPr>
        <w:t>Verteilnetzbetreiber (</w:t>
      </w:r>
      <w:r>
        <w:rPr>
          <w:sz w:val="22"/>
          <w:szCs w:val="22"/>
          <w:lang w:val="de-CH"/>
        </w:rPr>
        <w:t>VAS</w:t>
      </w:r>
      <w:r w:rsidRPr="00F61D36">
        <w:rPr>
          <w:sz w:val="22"/>
          <w:szCs w:val="22"/>
          <w:lang w:val="de-CH"/>
        </w:rPr>
        <w:t>) dankt dem Bundesrat für die Gelegenheit, zu oben genannter Vernehmlassung Stellung nehmen zu können.</w:t>
      </w:r>
    </w:p>
    <w:p w14:paraId="282040C9" w14:textId="5788C28D" w:rsidR="00D15463" w:rsidRDefault="00D15463" w:rsidP="00D15463">
      <w:pPr>
        <w:spacing w:before="120"/>
        <w:rPr>
          <w:sz w:val="22"/>
          <w:szCs w:val="22"/>
          <w:lang w:val="de-CH"/>
        </w:rPr>
      </w:pPr>
      <w:r>
        <w:rPr>
          <w:sz w:val="22"/>
          <w:szCs w:val="22"/>
          <w:lang w:val="de-CH"/>
        </w:rPr>
        <w:t xml:space="preserve">Im </w:t>
      </w:r>
      <w:r w:rsidRPr="00F60751">
        <w:rPr>
          <w:sz w:val="22"/>
          <w:szCs w:val="22"/>
          <w:lang w:val="de-CH"/>
        </w:rPr>
        <w:t>Verband Aargau</w:t>
      </w:r>
      <w:r>
        <w:rPr>
          <w:sz w:val="22"/>
          <w:szCs w:val="22"/>
          <w:lang w:val="de-CH"/>
        </w:rPr>
        <w:t xml:space="preserve">ischer </w:t>
      </w:r>
      <w:r w:rsidRPr="00F60751">
        <w:rPr>
          <w:sz w:val="22"/>
          <w:szCs w:val="22"/>
          <w:lang w:val="de-CH"/>
        </w:rPr>
        <w:t xml:space="preserve">Stromversorger </w:t>
      </w:r>
      <w:r>
        <w:rPr>
          <w:sz w:val="22"/>
          <w:szCs w:val="22"/>
          <w:lang w:val="de-CH"/>
        </w:rPr>
        <w:t xml:space="preserve">(VAS) sind 95 Aargauer Stromversorger organisiert, d.h. </w:t>
      </w:r>
      <w:r w:rsidR="00F61D36">
        <w:rPr>
          <w:sz w:val="22"/>
          <w:szCs w:val="22"/>
          <w:lang w:val="de-CH"/>
        </w:rPr>
        <w:t xml:space="preserve">rund </w:t>
      </w:r>
      <w:r>
        <w:rPr>
          <w:sz w:val="22"/>
          <w:szCs w:val="22"/>
          <w:lang w:val="de-CH"/>
        </w:rPr>
        <w:t xml:space="preserve">jeder sechste Verteilnetzbetreiber in der Schweiz, </w:t>
      </w:r>
      <w:r w:rsidRPr="003A753B">
        <w:rPr>
          <w:sz w:val="22"/>
          <w:szCs w:val="22"/>
          <w:lang w:val="de-CH"/>
        </w:rPr>
        <w:t>d</w:t>
      </w:r>
      <w:r w:rsidRPr="00D15463">
        <w:rPr>
          <w:sz w:val="22"/>
          <w:szCs w:val="22"/>
          <w:lang w:val="de-CH"/>
        </w:rPr>
        <w:t>er</w:t>
      </w:r>
      <w:r w:rsidRPr="003A753B">
        <w:rPr>
          <w:sz w:val="22"/>
          <w:szCs w:val="22"/>
          <w:lang w:val="de-CH"/>
        </w:rPr>
        <w:t xml:space="preserve"> von den in dieser Form vorliegenden Verordnungsänderungen betroffen wäre</w:t>
      </w:r>
      <w:r w:rsidRPr="00D15463">
        <w:rPr>
          <w:sz w:val="22"/>
          <w:szCs w:val="22"/>
          <w:lang w:val="de-CH"/>
        </w:rPr>
        <w:t>,</w:t>
      </w:r>
      <w:r>
        <w:rPr>
          <w:sz w:val="22"/>
          <w:szCs w:val="22"/>
          <w:lang w:val="de-CH"/>
        </w:rPr>
        <w:t xml:space="preserve"> ist Mitglied des VAS.</w:t>
      </w:r>
    </w:p>
    <w:p w14:paraId="349C87A5" w14:textId="4E20CA65" w:rsidR="00F61D36" w:rsidRDefault="00F61D36" w:rsidP="00D15463">
      <w:pPr>
        <w:spacing w:before="120"/>
        <w:rPr>
          <w:sz w:val="22"/>
          <w:szCs w:val="22"/>
          <w:lang w:val="de-CH"/>
        </w:rPr>
      </w:pPr>
      <w:r>
        <w:rPr>
          <w:sz w:val="22"/>
          <w:szCs w:val="22"/>
          <w:lang w:val="de-CH"/>
        </w:rPr>
        <w:t>In aller Transparenz hält der VAS fest, dass er sich in der Vernehmlassung und Meinungsbildung mit dem DSV ausgetauscht und dessen Stellungnahme übernommen hat.</w:t>
      </w:r>
    </w:p>
    <w:p w14:paraId="6DB1FEEA" w14:textId="2E5B77CF" w:rsidR="00F61D36" w:rsidRPr="00F61D36" w:rsidRDefault="00F61D36" w:rsidP="00F61D36">
      <w:pPr>
        <w:spacing w:before="120"/>
        <w:rPr>
          <w:sz w:val="22"/>
          <w:szCs w:val="22"/>
          <w:lang w:val="de-CH"/>
        </w:rPr>
      </w:pPr>
      <w:r w:rsidRPr="00F61D36">
        <w:rPr>
          <w:sz w:val="22"/>
          <w:szCs w:val="22"/>
          <w:lang w:val="de-CH"/>
        </w:rPr>
        <w:t>Einleitend h</w:t>
      </w:r>
      <w:r>
        <w:rPr>
          <w:sz w:val="22"/>
          <w:szCs w:val="22"/>
          <w:lang w:val="de-CH"/>
        </w:rPr>
        <w:t xml:space="preserve">alten der </w:t>
      </w:r>
      <w:r w:rsidRPr="00F61D36">
        <w:rPr>
          <w:sz w:val="22"/>
          <w:szCs w:val="22"/>
          <w:lang w:val="de-CH"/>
        </w:rPr>
        <w:t xml:space="preserve">DSV </w:t>
      </w:r>
      <w:r>
        <w:rPr>
          <w:sz w:val="22"/>
          <w:szCs w:val="22"/>
          <w:lang w:val="de-CH"/>
        </w:rPr>
        <w:t xml:space="preserve">und der VAS </w:t>
      </w:r>
      <w:r w:rsidRPr="00F61D36">
        <w:rPr>
          <w:sz w:val="22"/>
          <w:szCs w:val="22"/>
          <w:lang w:val="de-CH"/>
        </w:rPr>
        <w:t>fest, dass die durch Parlament und Volk beschlossene Energiewende eine eigentliche «Netzwende» ist. Die gesamte Netzinfrastruktur wird aufgrund der zunehmend dezentralen Produktion in den kommenden Jahren und Jahrzehnten eine massive Erneuerung und einen starken Umbau erfahren. Das Bundesamt für Energie (BFE) geht denn auch beim Verteilnetz in den Jahren 2020 bis 2050 von einem zusätzlichen Investitionsbedarf von bis zu 80 Mrd. Franken aus</w:t>
      </w:r>
      <w:r w:rsidR="000F0A3F">
        <w:rPr>
          <w:sz w:val="22"/>
          <w:szCs w:val="22"/>
          <w:lang w:val="de-CH"/>
        </w:rPr>
        <w:t xml:space="preserve"> </w:t>
      </w:r>
      <w:r w:rsidR="000F0A3F" w:rsidRPr="000F0A3F">
        <w:rPr>
          <w:sz w:val="22"/>
          <w:szCs w:val="22"/>
          <w:vertAlign w:val="superscript"/>
          <w:lang w:val="de-CH"/>
        </w:rPr>
        <w:t>1)</w:t>
      </w:r>
      <w:r w:rsidRPr="00F61D36">
        <w:rPr>
          <w:sz w:val="22"/>
          <w:szCs w:val="22"/>
          <w:lang w:val="de-CH"/>
        </w:rPr>
        <w:t>. Vor diesem Hintergrund erscheint die geplante Änderung der Stromversorgungsverordnung völlig verfehlt und rein politisch motiviert. Gerade jetzt brauchen die Verteilnetzbetreiber die notwendigen finanziellen Mittel, ansonsten nicht nur die geforderte Energie- und Klimastrategie gefährdet ist, sondern vor allem auch die Versorgungssicherheit.</w:t>
      </w:r>
    </w:p>
    <w:p w14:paraId="608D3FAE" w14:textId="25608898" w:rsidR="00F61D36" w:rsidRDefault="00F61D36" w:rsidP="00F61D36">
      <w:pPr>
        <w:spacing w:before="120"/>
        <w:rPr>
          <w:sz w:val="22"/>
          <w:szCs w:val="22"/>
          <w:lang w:val="de-CH"/>
        </w:rPr>
      </w:pPr>
      <w:r w:rsidRPr="00F61D36">
        <w:rPr>
          <w:sz w:val="22"/>
          <w:szCs w:val="22"/>
          <w:lang w:val="de-CH"/>
        </w:rPr>
        <w:t xml:space="preserve">Der </w:t>
      </w:r>
      <w:r>
        <w:rPr>
          <w:sz w:val="22"/>
          <w:szCs w:val="22"/>
          <w:lang w:val="de-CH"/>
        </w:rPr>
        <w:t xml:space="preserve">VAS </w:t>
      </w:r>
      <w:r w:rsidRPr="00F61D36">
        <w:rPr>
          <w:sz w:val="22"/>
          <w:szCs w:val="22"/>
          <w:lang w:val="de-CH"/>
        </w:rPr>
        <w:t xml:space="preserve">lehnt deshalb die geplante Änderung der Berechnungsmethode für den </w:t>
      </w:r>
      <w:proofErr w:type="spellStart"/>
      <w:r w:rsidRPr="00F61D36">
        <w:rPr>
          <w:sz w:val="22"/>
          <w:szCs w:val="22"/>
          <w:lang w:val="de-CH"/>
        </w:rPr>
        <w:t>Weighted</w:t>
      </w:r>
      <w:proofErr w:type="spellEnd"/>
      <w:r w:rsidRPr="00F61D36">
        <w:rPr>
          <w:sz w:val="22"/>
          <w:szCs w:val="22"/>
          <w:lang w:val="de-CH"/>
        </w:rPr>
        <w:t xml:space="preserve"> Average </w:t>
      </w:r>
      <w:proofErr w:type="spellStart"/>
      <w:r w:rsidRPr="00F61D36">
        <w:rPr>
          <w:sz w:val="22"/>
          <w:szCs w:val="22"/>
          <w:lang w:val="de-CH"/>
        </w:rPr>
        <w:t>Cost</w:t>
      </w:r>
      <w:proofErr w:type="spellEnd"/>
      <w:r w:rsidRPr="00F61D36">
        <w:rPr>
          <w:sz w:val="22"/>
          <w:szCs w:val="22"/>
          <w:lang w:val="de-CH"/>
        </w:rPr>
        <w:t xml:space="preserve"> </w:t>
      </w:r>
      <w:proofErr w:type="spellStart"/>
      <w:r w:rsidRPr="00F61D36">
        <w:rPr>
          <w:sz w:val="22"/>
          <w:szCs w:val="22"/>
          <w:lang w:val="de-CH"/>
        </w:rPr>
        <w:t>of</w:t>
      </w:r>
      <w:proofErr w:type="spellEnd"/>
      <w:r w:rsidRPr="00F61D36">
        <w:rPr>
          <w:sz w:val="22"/>
          <w:szCs w:val="22"/>
          <w:lang w:val="de-CH"/>
        </w:rPr>
        <w:t xml:space="preserve"> Capital (WACC) ab. Gerne begründen wir dies wie folgt.</w:t>
      </w:r>
    </w:p>
    <w:p w14:paraId="7BEF4615" w14:textId="77777777" w:rsidR="008D5690" w:rsidRDefault="008D5690" w:rsidP="008D5690">
      <w:pPr>
        <w:pStyle w:val="Funotentext"/>
        <w:spacing w:before="120"/>
        <w:rPr>
          <w:rFonts w:ascii="Arial" w:hAnsi="Arial" w:cs="Arial"/>
        </w:rPr>
      </w:pPr>
      <w:r>
        <w:rPr>
          <w:rStyle w:val="Funotenzeichen"/>
          <w:rFonts w:ascii="Arial" w:hAnsi="Arial" w:cs="Arial"/>
        </w:rPr>
        <w:footnoteRef/>
      </w:r>
      <w:r>
        <w:rPr>
          <w:rFonts w:ascii="Arial" w:hAnsi="Arial" w:cs="Arial"/>
        </w:rPr>
        <w:t xml:space="preserve"> </w:t>
      </w:r>
      <w:hyperlink r:id="rId8" w:history="1">
        <w:r>
          <w:rPr>
            <w:rStyle w:val="Hyperlink"/>
            <w:rFonts w:ascii="Arial" w:hAnsi="Arial" w:cs="Arial"/>
          </w:rPr>
          <w:t>https://www.newsd.admin.ch/newsd/message/attachments/74145.pdf</w:t>
        </w:r>
      </w:hyperlink>
      <w:r>
        <w:rPr>
          <w:rFonts w:ascii="Arial" w:hAnsi="Arial" w:cs="Arial"/>
        </w:rPr>
        <w:t xml:space="preserve"> </w:t>
      </w:r>
    </w:p>
    <w:p w14:paraId="25D0ECF9" w14:textId="77777777" w:rsidR="00F61D36" w:rsidRPr="00F61D36" w:rsidRDefault="00F61D36" w:rsidP="00F61D36">
      <w:pPr>
        <w:spacing w:before="120"/>
        <w:rPr>
          <w:sz w:val="22"/>
          <w:szCs w:val="22"/>
          <w:lang w:val="de-CH"/>
        </w:rPr>
      </w:pPr>
    </w:p>
    <w:p w14:paraId="5B1FE279" w14:textId="19719920" w:rsidR="00F61D36" w:rsidRPr="00F61D36" w:rsidRDefault="00F61D36" w:rsidP="00F61D36">
      <w:pPr>
        <w:spacing w:before="120"/>
        <w:rPr>
          <w:b/>
          <w:sz w:val="22"/>
          <w:szCs w:val="22"/>
          <w:lang w:val="de-CH"/>
        </w:rPr>
      </w:pPr>
      <w:r w:rsidRPr="00F61D36">
        <w:rPr>
          <w:b/>
          <w:sz w:val="22"/>
          <w:szCs w:val="22"/>
          <w:lang w:val="de-CH"/>
        </w:rPr>
        <w:t>Investitionssicherheit ist zentral</w:t>
      </w:r>
    </w:p>
    <w:p w14:paraId="714029E0" w14:textId="77777777" w:rsidR="00F61D36" w:rsidRPr="00F61D36" w:rsidRDefault="00F61D36" w:rsidP="00F61D36">
      <w:pPr>
        <w:spacing w:before="120"/>
        <w:rPr>
          <w:sz w:val="22"/>
          <w:szCs w:val="22"/>
          <w:lang w:val="de-CH"/>
        </w:rPr>
      </w:pPr>
      <w:r w:rsidRPr="00F61D36">
        <w:rPr>
          <w:sz w:val="22"/>
          <w:szCs w:val="22"/>
          <w:lang w:val="de-CH"/>
        </w:rPr>
        <w:t xml:space="preserve">Investitionen in die Energieinfrastruktur sind in der Regel sehr langfristig (bis zu 80 Jahre) ausgelegt. Dieser lange Zeithorizont erfordert eine stabile und angemessene Kapitalrendite, damit die entsprechenden Investitionen in die Netzinfrastruktur für die Herausforderungen der </w:t>
      </w:r>
      <w:r w:rsidRPr="00F61D36">
        <w:rPr>
          <w:sz w:val="22"/>
          <w:szCs w:val="22"/>
          <w:lang w:val="de-CH"/>
        </w:rPr>
        <w:lastRenderedPageBreak/>
        <w:t xml:space="preserve">Energiewende getätigt werden. Es ist politisch gewollt, dass eine langfristige Investitionssicherheit für die Energieversorger besteht, wurden die entsprechenden Signale mit dem Mantelerlass doch nochmals bestätigt. Das Ändern der Spielregeln kurz nach deren Bestätigung – und während des laufenden Spiels – läuft der notwendigen Rechts- und Investitionssicherheit zuwider, welche die Energieversorger benötigen, um die gemäss den gesteckten Energie- und Klimastrategien geforderten Investitionen zu tätigen. </w:t>
      </w:r>
    </w:p>
    <w:p w14:paraId="4593621F" w14:textId="77777777" w:rsidR="00F61D36" w:rsidRPr="00F61D36" w:rsidRDefault="00F61D36" w:rsidP="00F61D36">
      <w:pPr>
        <w:spacing w:before="120"/>
        <w:rPr>
          <w:sz w:val="22"/>
          <w:szCs w:val="22"/>
          <w:lang w:val="de-CH"/>
        </w:rPr>
      </w:pPr>
      <w:r w:rsidRPr="00F61D36">
        <w:rPr>
          <w:sz w:val="22"/>
          <w:szCs w:val="22"/>
          <w:lang w:val="de-CH"/>
        </w:rPr>
        <w:t>Die geplante Anpassung der Berechnungsmethode aufgrund einer ausserordentlichen Tiefzinsphase ist kurzfristig, kurzsichtig und wird der Komplexität und dem Investitionshorizont der Netzinfrastruktur in keiner Weise gerecht. Eine Abweichung von einer rein finanzwirtschaftlichen Betrachtung, die letztlich zu deutlich mehr Schwankungen im WACC führen, ist vor diesem Hintergrund sehr wohl gerechtfertigt.</w:t>
      </w:r>
    </w:p>
    <w:p w14:paraId="422820E5" w14:textId="77777777" w:rsidR="00F61D36" w:rsidRPr="00F61D36" w:rsidRDefault="00F61D36" w:rsidP="00F61D36">
      <w:pPr>
        <w:spacing w:before="120"/>
        <w:rPr>
          <w:sz w:val="22"/>
          <w:szCs w:val="22"/>
          <w:lang w:val="de-CH"/>
        </w:rPr>
      </w:pPr>
      <w:r w:rsidRPr="00F61D36">
        <w:rPr>
          <w:sz w:val="22"/>
          <w:szCs w:val="22"/>
          <w:lang w:val="de-CH"/>
        </w:rPr>
        <w:t>Letztlich ist zu bedenken, dass eine Änderung der Berechnungsmethode allenthalben zur berechtigten Sorge führt, dass in Zukunft aufgrund politischer Forderungen immer wieder kurzfristige Anpassungen an der Berechnungsmethode vorgenommen werden, womit die Planungsunsicherheit für die Energieversorger zunimmt. Dies hat auch Auswirkungen auf die Fremdkapitalgeber, welche diese Risiken aufgrund absehbar fehlender Stabilität und Vorhersehbarkeit des Regulierungsrahmens einpreisen werden, was zwangsläufig zu höheren Fremdkapitalkosten führt – bis hin zu ausbleibenden Finanzierungen!</w:t>
      </w:r>
    </w:p>
    <w:p w14:paraId="1882BEAC" w14:textId="77777777" w:rsidR="00F61D36" w:rsidRPr="00F61D36" w:rsidRDefault="00F61D36" w:rsidP="00F61D36">
      <w:pPr>
        <w:spacing w:before="120"/>
        <w:rPr>
          <w:sz w:val="22"/>
          <w:szCs w:val="22"/>
          <w:lang w:val="de-CH"/>
        </w:rPr>
      </w:pPr>
    </w:p>
    <w:p w14:paraId="6AD978EA" w14:textId="77777777" w:rsidR="00F61D36" w:rsidRPr="00F61D36" w:rsidRDefault="00F61D36" w:rsidP="00F61D36">
      <w:pPr>
        <w:spacing w:before="120"/>
        <w:rPr>
          <w:b/>
          <w:sz w:val="22"/>
          <w:szCs w:val="22"/>
          <w:lang w:val="de-CH"/>
        </w:rPr>
      </w:pPr>
      <w:r w:rsidRPr="00F61D36">
        <w:rPr>
          <w:b/>
          <w:sz w:val="22"/>
          <w:szCs w:val="22"/>
          <w:lang w:val="de-CH"/>
        </w:rPr>
        <w:t>Ein Blick über den Tellerrand hinaus</w:t>
      </w:r>
    </w:p>
    <w:p w14:paraId="34009E32" w14:textId="77777777" w:rsidR="00F61D36" w:rsidRPr="00F61D36" w:rsidRDefault="00F61D36" w:rsidP="00F61D36">
      <w:pPr>
        <w:spacing w:before="120"/>
        <w:rPr>
          <w:sz w:val="22"/>
          <w:szCs w:val="22"/>
          <w:lang w:val="de-CH"/>
        </w:rPr>
      </w:pPr>
      <w:r w:rsidRPr="00F61D36">
        <w:rPr>
          <w:sz w:val="22"/>
          <w:szCs w:val="22"/>
          <w:lang w:val="de-CH"/>
        </w:rPr>
        <w:t>Der Blick ins Ausland zeigt, dass in Tiefzinsphasen keine Berechnungsmethode für den WACC ohne Untergrenze ausreichend Stabilität gewährleisten konnte und zu einer adäquaten Verzinsung geführt hat. So mussten ad-hoc Anpassungen durchgeführt oder gar öffentliches Geld investiert werden, was die gesetzten Untergrenzen ökonomisch rechtfertigt. Regulierungsbehörden in anderen Ländern (insbesondere in Deutschland, Österreich, Frankreich und Italien) mussten in der zurückliegenden Tiefzinsphase kurzfristig Anpassungen vornehmen, um den von ihnen (ohne Untergrenze) festgelegten WACC für die Netzbetreiber zu erhöhen. Solche Notfallmassnahmen, die offenkundige Mängel an der entsprechenden WACC Methodik in diesen Ländern aufgedeckt haben, waren in der Schweiz aufgrund der aktuellen Berechnungsmethode nicht notwendig. Auch die damit einhergehenden Auseinandersetzungen zwischen Netzbetreibern und der Regulierungsbehörde vor Gericht – und die damit verbunden Kosten und Unsicherheiten – konnten in der Schweiz dank der bisherigen stabilen Berechnungsmethode vermieden werden.</w:t>
      </w:r>
    </w:p>
    <w:p w14:paraId="16C1C14E" w14:textId="77777777" w:rsidR="00F61D36" w:rsidRPr="00F61D36" w:rsidRDefault="00F61D36" w:rsidP="00F61D36">
      <w:pPr>
        <w:spacing w:before="120"/>
        <w:rPr>
          <w:sz w:val="22"/>
          <w:szCs w:val="22"/>
          <w:lang w:val="de-CH"/>
        </w:rPr>
      </w:pPr>
    </w:p>
    <w:p w14:paraId="22217859" w14:textId="77777777" w:rsidR="00F61D36" w:rsidRPr="00F61D36" w:rsidRDefault="00F61D36" w:rsidP="00F61D36">
      <w:pPr>
        <w:spacing w:before="120"/>
        <w:rPr>
          <w:b/>
          <w:sz w:val="22"/>
          <w:szCs w:val="22"/>
          <w:lang w:val="de-CH"/>
        </w:rPr>
      </w:pPr>
      <w:r w:rsidRPr="00F61D36">
        <w:rPr>
          <w:b/>
          <w:sz w:val="22"/>
          <w:szCs w:val="22"/>
          <w:lang w:val="de-CH"/>
        </w:rPr>
        <w:t>Bewährte Regelung basiert auf wissenschaftlichen Methoden</w:t>
      </w:r>
    </w:p>
    <w:p w14:paraId="7912ABD8" w14:textId="77777777" w:rsidR="00F61D36" w:rsidRPr="00F61D36" w:rsidRDefault="00F61D36" w:rsidP="00F61D36">
      <w:pPr>
        <w:spacing w:before="120"/>
        <w:rPr>
          <w:sz w:val="22"/>
          <w:szCs w:val="22"/>
          <w:lang w:val="de-CH"/>
        </w:rPr>
      </w:pPr>
      <w:r w:rsidRPr="00F61D36">
        <w:rPr>
          <w:sz w:val="22"/>
          <w:szCs w:val="22"/>
          <w:lang w:val="de-CH"/>
        </w:rPr>
        <w:t>Für die Bestimmung der Verzinsung des im Stromnetz gebundenen Kapitals wird der WACC verwendet. Das heutige Konzept, welches 2014 eingeführt wurde, wurde bewusst gewählt, um die Kapitalverzinsung zu stabilisieren. Dieses Ziel konnte erreicht werden und gilt weiterhin. Das Modell hat sich bewährt, ist stabil, fundiert und breit abgestützt in Theorie und Praxis.</w:t>
      </w:r>
    </w:p>
    <w:p w14:paraId="5C57828A" w14:textId="590A88CF" w:rsidR="00F61D36" w:rsidRDefault="00F61D36" w:rsidP="00F61D36">
      <w:pPr>
        <w:spacing w:before="120"/>
        <w:rPr>
          <w:sz w:val="22"/>
          <w:szCs w:val="22"/>
          <w:lang w:val="de-CH"/>
        </w:rPr>
      </w:pPr>
      <w:r w:rsidRPr="00F61D36">
        <w:rPr>
          <w:sz w:val="22"/>
          <w:szCs w:val="22"/>
          <w:lang w:val="de-CH"/>
        </w:rPr>
        <w:t>Für eine grundsätzliche Änderung und Abkehr vom bisherigen Konzept und deren Parameter gibt es aus methodischer Sicht keinen Anlass. Eine Anpassung des Konzepts nur aufgrund eines politischen Ziels, die Tarife kurzfristig zu senken, wäre kontraproduktiv und würde zulasten ihrer langfristigen Stabilität und der dringend benötigten Infrastrukturinvestitionen im Energiesektor gehen.</w:t>
      </w:r>
    </w:p>
    <w:p w14:paraId="042F52BB" w14:textId="77777777" w:rsidR="00607599" w:rsidRPr="00F61D36" w:rsidRDefault="00607599" w:rsidP="00F61D36">
      <w:pPr>
        <w:spacing w:before="120"/>
        <w:rPr>
          <w:sz w:val="22"/>
          <w:szCs w:val="22"/>
          <w:lang w:val="de-CH"/>
        </w:rPr>
      </w:pPr>
      <w:bookmarkStart w:id="0" w:name="_GoBack"/>
      <w:bookmarkEnd w:id="0"/>
    </w:p>
    <w:p w14:paraId="2437D8C1" w14:textId="77777777" w:rsidR="00F61D36" w:rsidRPr="00F61D36" w:rsidRDefault="00F61D36" w:rsidP="00F61D36">
      <w:pPr>
        <w:spacing w:before="120"/>
        <w:rPr>
          <w:b/>
          <w:sz w:val="22"/>
          <w:szCs w:val="22"/>
          <w:lang w:val="de-CH"/>
        </w:rPr>
      </w:pPr>
      <w:r w:rsidRPr="00F61D36">
        <w:rPr>
          <w:b/>
          <w:sz w:val="22"/>
          <w:szCs w:val="22"/>
          <w:lang w:val="de-CH"/>
        </w:rPr>
        <w:lastRenderedPageBreak/>
        <w:t>Netzkosten anderweitig stabilisieren</w:t>
      </w:r>
    </w:p>
    <w:p w14:paraId="0D8317D1" w14:textId="77777777" w:rsidR="00F61D36" w:rsidRPr="00F61D36" w:rsidRDefault="00F61D36" w:rsidP="00F61D36">
      <w:pPr>
        <w:spacing w:before="120"/>
        <w:rPr>
          <w:sz w:val="22"/>
          <w:szCs w:val="22"/>
          <w:lang w:val="de-CH"/>
        </w:rPr>
      </w:pPr>
      <w:r w:rsidRPr="00F61D36">
        <w:rPr>
          <w:sz w:val="22"/>
          <w:szCs w:val="22"/>
          <w:lang w:val="de-CH"/>
        </w:rPr>
        <w:t>Bereits heute gilt die Maxime, dass das Netz effizient (sowie sicher und leistungsfähig) sein muss. Mit der Strategie Stromnetze wurde im Jahr 2019 das NOVA-Prinzip im Gesetz verankert, wonach das Netz zuerst optimiert werden soll, bevor es verstärkt oder ausgebaut wird.</w:t>
      </w:r>
    </w:p>
    <w:p w14:paraId="79356D23" w14:textId="77777777" w:rsidR="00F61D36" w:rsidRPr="00F61D36" w:rsidRDefault="00F61D36" w:rsidP="00F61D36">
      <w:pPr>
        <w:spacing w:before="120"/>
        <w:rPr>
          <w:sz w:val="22"/>
          <w:szCs w:val="22"/>
          <w:lang w:val="de-CH"/>
        </w:rPr>
      </w:pPr>
      <w:r w:rsidRPr="00F61D36">
        <w:rPr>
          <w:sz w:val="22"/>
          <w:szCs w:val="22"/>
          <w:lang w:val="de-CH"/>
        </w:rPr>
        <w:t xml:space="preserve">Im Rahmen des Mantelerlasses wurden nun verschiedene weitere Anpassungen vorgenommen, welche es ermöglichen, die bereits vorhandene Netzinfrastruktur effizienter zu nutzen und somit den (ohnehin) notwendigen Ausbau im Rahmen zu halten und damit auch einen massiven Anstieg der Netzkosten im Mass zu halten. Dazu gehört die Möglichkeit der Einspeisebegrenzung («Peak </w:t>
      </w:r>
      <w:proofErr w:type="spellStart"/>
      <w:r w:rsidRPr="00F61D36">
        <w:rPr>
          <w:sz w:val="22"/>
          <w:szCs w:val="22"/>
          <w:lang w:val="de-CH"/>
        </w:rPr>
        <w:t>Shaving</w:t>
      </w:r>
      <w:proofErr w:type="spellEnd"/>
      <w:r w:rsidRPr="00F61D36">
        <w:rPr>
          <w:sz w:val="22"/>
          <w:szCs w:val="22"/>
          <w:lang w:val="de-CH"/>
        </w:rPr>
        <w:t>»). Zusätzlich gäbe es weitere Optimierungsmöglichkeiten im Bereich der Netztarifierung, welche im Gegensatz zu einer WACC-Senkung effektive Anreize für eine effiziente Netznutzung setzen könnten. Zudem wird nun die Sunshine-Regulierung eingeführt, von welcher der Bundesrat ebenfalls einen Effekt auf die Entwicklung der Netzkosten erwartet.</w:t>
      </w:r>
    </w:p>
    <w:p w14:paraId="11A8CB1C" w14:textId="77777777" w:rsidR="00F61D36" w:rsidRPr="00F61D36" w:rsidRDefault="00F61D36" w:rsidP="00F61D36">
      <w:pPr>
        <w:spacing w:before="120"/>
        <w:rPr>
          <w:sz w:val="22"/>
          <w:szCs w:val="22"/>
          <w:lang w:val="de-CH"/>
        </w:rPr>
      </w:pPr>
      <w:r w:rsidRPr="00F61D36">
        <w:rPr>
          <w:sz w:val="22"/>
          <w:szCs w:val="22"/>
          <w:lang w:val="de-CH"/>
        </w:rPr>
        <w:t>Bevor mit einer Senkung des WACC versucht wird, die Netzkosten zu senken, sollten die bestehenden Potentiale genutzt und die Wirkung der neuen Regulierung abgewartet werden.</w:t>
      </w:r>
    </w:p>
    <w:p w14:paraId="13849A29" w14:textId="77777777" w:rsidR="00F61D36" w:rsidRPr="00F61D36" w:rsidRDefault="00F61D36" w:rsidP="00F61D36">
      <w:pPr>
        <w:spacing w:before="120"/>
        <w:rPr>
          <w:sz w:val="22"/>
          <w:szCs w:val="22"/>
          <w:lang w:val="de-CH"/>
        </w:rPr>
      </w:pPr>
    </w:p>
    <w:p w14:paraId="611AD815" w14:textId="77777777" w:rsidR="00F61D36" w:rsidRPr="00F61D36" w:rsidRDefault="00F61D36" w:rsidP="00F61D36">
      <w:pPr>
        <w:spacing w:before="120"/>
        <w:rPr>
          <w:b/>
          <w:sz w:val="22"/>
          <w:szCs w:val="22"/>
          <w:lang w:val="de-CH"/>
        </w:rPr>
      </w:pPr>
      <w:r w:rsidRPr="00F61D36">
        <w:rPr>
          <w:b/>
          <w:sz w:val="22"/>
          <w:szCs w:val="22"/>
          <w:lang w:val="de-CH"/>
        </w:rPr>
        <w:t>Fazit: Der Netzumbau ist dringlich und benötigt entsprechend Kapital</w:t>
      </w:r>
    </w:p>
    <w:p w14:paraId="5DE07884" w14:textId="77777777" w:rsidR="00F61D36" w:rsidRPr="00F61D36" w:rsidRDefault="00F61D36" w:rsidP="00F61D36">
      <w:pPr>
        <w:spacing w:before="120"/>
        <w:rPr>
          <w:sz w:val="22"/>
          <w:szCs w:val="22"/>
          <w:lang w:val="de-CH"/>
        </w:rPr>
      </w:pPr>
      <w:r w:rsidRPr="00F61D36">
        <w:rPr>
          <w:sz w:val="22"/>
          <w:szCs w:val="22"/>
          <w:lang w:val="de-CH"/>
        </w:rPr>
        <w:t>Es braucht Investitionssicherheit und daher eine nachhaltige, stabile Entwicklung des WACC. Eine Anpassung des WACC-Konzepts und der geltenden Parameter würde die erforderlichen Investitionen bremsen und die Energie- und Klimaziele sowie die Versorgungssicherheit gefährden. Zudem sind nicht nur neue Investitionen von einer Anpassung des Konzepts betroffen, sondern auch bereits bestehende Investitionen, die aufgrund anderer Voraussetzungen getätigt wurden.</w:t>
      </w:r>
    </w:p>
    <w:p w14:paraId="077C4675" w14:textId="77777777" w:rsidR="00F61D36" w:rsidRPr="00F61D36" w:rsidRDefault="00F61D36" w:rsidP="00F61D36">
      <w:pPr>
        <w:spacing w:before="120"/>
        <w:rPr>
          <w:sz w:val="22"/>
          <w:szCs w:val="22"/>
          <w:lang w:val="de-CH"/>
        </w:rPr>
      </w:pPr>
      <w:r w:rsidRPr="00F61D36">
        <w:rPr>
          <w:sz w:val="22"/>
          <w:szCs w:val="22"/>
          <w:lang w:val="de-CH"/>
        </w:rPr>
        <w:t>Eine erneute Umstellung würde die langfristige Stabilität des Regulierungsrahmens in Frage stellen. Dies gerade zu einem Zeitpunkt, wo ein sehr dringender und massiver Umbau und grosse Investitionen anstehen, welche das Energiesystem resilienter machen sollen. Auch sind bereits verschiedene andere Massnahmen aufgegleist, welche den zu erwartenden Kostenanstieg dämpfen könnten.</w:t>
      </w:r>
    </w:p>
    <w:p w14:paraId="45A7BC90" w14:textId="77777777" w:rsidR="00F61D36" w:rsidRPr="00F61D36" w:rsidRDefault="00F61D36" w:rsidP="00F61D36">
      <w:pPr>
        <w:spacing w:before="120"/>
        <w:rPr>
          <w:sz w:val="22"/>
          <w:szCs w:val="22"/>
          <w:lang w:val="de-CH"/>
        </w:rPr>
      </w:pPr>
      <w:r w:rsidRPr="00F61D36">
        <w:rPr>
          <w:sz w:val="22"/>
          <w:szCs w:val="22"/>
          <w:lang w:val="de-CH"/>
        </w:rPr>
        <w:t>Eine Anpassung des WACC-Konzepts, welche die Bedingungen für Investitionen verschlechtert und destabilisiert, steht klar im Widerspruch zu diversen Massnahmen, die aktuell unternommen werden, um den Umbau zu beschleunigen.</w:t>
      </w:r>
    </w:p>
    <w:p w14:paraId="4EF9B3C8" w14:textId="77777777" w:rsidR="00F61D36" w:rsidRPr="00F61D36" w:rsidRDefault="00F61D36" w:rsidP="00F61D36">
      <w:pPr>
        <w:spacing w:before="120"/>
        <w:rPr>
          <w:sz w:val="22"/>
          <w:szCs w:val="22"/>
          <w:lang w:val="de-CH"/>
        </w:rPr>
      </w:pPr>
    </w:p>
    <w:p w14:paraId="5C72E6D5" w14:textId="77777777" w:rsidR="00F61D36" w:rsidRPr="00F61D36" w:rsidRDefault="00F61D36" w:rsidP="00F61D36">
      <w:pPr>
        <w:spacing w:before="120"/>
        <w:rPr>
          <w:sz w:val="22"/>
          <w:szCs w:val="22"/>
          <w:lang w:val="de-CH"/>
        </w:rPr>
      </w:pPr>
      <w:r w:rsidRPr="00F61D36">
        <w:rPr>
          <w:sz w:val="22"/>
          <w:szCs w:val="22"/>
          <w:lang w:val="de-CH"/>
        </w:rPr>
        <w:t xml:space="preserve">Wir danken Ihnen, wenn Sie aus vorgenannten Gründen die geplante Änderung der Stromversorgungsverordnung verwerfen. Für erläuternden Auskünfte stehen wir ihnen gerne zur Verfügung. </w:t>
      </w:r>
    </w:p>
    <w:p w14:paraId="42CFB810" w14:textId="77777777" w:rsidR="00F61D36" w:rsidRPr="00F61D36" w:rsidRDefault="00F61D36" w:rsidP="00F61D36">
      <w:pPr>
        <w:spacing w:before="120"/>
        <w:rPr>
          <w:sz w:val="22"/>
          <w:szCs w:val="22"/>
          <w:lang w:val="de-CH"/>
        </w:rPr>
      </w:pPr>
    </w:p>
    <w:p w14:paraId="3C0EE2FF" w14:textId="571571AA" w:rsidR="003A753B" w:rsidRPr="003A753B" w:rsidRDefault="003A753B" w:rsidP="003A753B">
      <w:pPr>
        <w:tabs>
          <w:tab w:val="left" w:pos="4678"/>
          <w:tab w:val="right" w:pos="9356"/>
        </w:tabs>
        <w:spacing w:after="120" w:line="300" w:lineRule="atLeast"/>
        <w:ind w:right="-1"/>
        <w:rPr>
          <w:rFonts w:eastAsia="SimSun"/>
          <w:bCs/>
          <w:sz w:val="22"/>
          <w:szCs w:val="22"/>
          <w:lang w:val="de-CH" w:eastAsia="de-CH"/>
        </w:rPr>
      </w:pPr>
      <w:r w:rsidRPr="003A753B">
        <w:rPr>
          <w:rFonts w:eastAsia="SimSun"/>
          <w:bCs/>
          <w:sz w:val="22"/>
          <w:szCs w:val="22"/>
          <w:lang w:val="de-CH" w:eastAsia="de-CH"/>
        </w:rPr>
        <w:t>Freundliche Grüsse</w:t>
      </w:r>
    </w:p>
    <w:p w14:paraId="5FCC5BB1" w14:textId="6CB668B0" w:rsidR="00A82273" w:rsidRDefault="00A82273" w:rsidP="003A753B">
      <w:pPr>
        <w:tabs>
          <w:tab w:val="left" w:pos="4678"/>
          <w:tab w:val="right" w:pos="9356"/>
        </w:tabs>
        <w:spacing w:after="120" w:line="300" w:lineRule="atLeast"/>
        <w:ind w:right="-1"/>
        <w:rPr>
          <w:rFonts w:eastAsia="SimSun"/>
          <w:bCs/>
          <w:sz w:val="22"/>
          <w:szCs w:val="22"/>
          <w:lang w:val="de-CH" w:eastAsia="de-CH"/>
        </w:rPr>
      </w:pPr>
    </w:p>
    <w:p w14:paraId="4EB24DB0" w14:textId="70955575" w:rsidR="00A82273" w:rsidRDefault="00A82273" w:rsidP="003A753B">
      <w:pPr>
        <w:tabs>
          <w:tab w:val="left" w:pos="4678"/>
          <w:tab w:val="right" w:pos="9356"/>
        </w:tabs>
        <w:spacing w:after="120" w:line="300" w:lineRule="atLeast"/>
        <w:ind w:right="-1"/>
        <w:rPr>
          <w:rFonts w:eastAsia="SimSun"/>
          <w:bCs/>
          <w:sz w:val="22"/>
          <w:szCs w:val="22"/>
          <w:lang w:val="de-CH" w:eastAsia="de-CH"/>
        </w:rPr>
      </w:pPr>
    </w:p>
    <w:p w14:paraId="473F27B1" w14:textId="47CF86E3" w:rsidR="003A753B" w:rsidRDefault="00B1126B" w:rsidP="00B1126B">
      <w:pPr>
        <w:tabs>
          <w:tab w:val="left" w:pos="4678"/>
          <w:tab w:val="right" w:pos="9356"/>
        </w:tabs>
        <w:spacing w:after="120" w:line="300" w:lineRule="atLeast"/>
        <w:ind w:right="-1"/>
        <w:rPr>
          <w:rFonts w:eastAsia="SimSun"/>
          <w:bCs/>
          <w:sz w:val="22"/>
          <w:szCs w:val="22"/>
          <w:lang w:val="de-CH" w:eastAsia="de-CH"/>
        </w:rPr>
      </w:pPr>
      <w:r w:rsidRPr="00B1126B">
        <w:rPr>
          <w:rFonts w:eastAsia="SimSun"/>
          <w:bCs/>
          <w:sz w:val="22"/>
          <w:szCs w:val="22"/>
          <w:highlight w:val="yellow"/>
          <w:lang w:val="de-CH" w:eastAsia="de-CH"/>
        </w:rPr>
        <w:t>Name, Unterschrift</w:t>
      </w:r>
    </w:p>
    <w:p w14:paraId="7F767CDD" w14:textId="77777777" w:rsidR="00B1126B" w:rsidRDefault="00B1126B" w:rsidP="00B1126B">
      <w:pPr>
        <w:tabs>
          <w:tab w:val="left" w:pos="4678"/>
          <w:tab w:val="right" w:pos="9356"/>
        </w:tabs>
        <w:spacing w:after="120" w:line="300" w:lineRule="atLeast"/>
        <w:ind w:right="-1"/>
        <w:rPr>
          <w:sz w:val="22"/>
          <w:szCs w:val="22"/>
          <w:lang w:val="de-CH"/>
        </w:rPr>
      </w:pPr>
    </w:p>
    <w:sectPr w:rsidR="00B1126B" w:rsidSect="008D5690">
      <w:headerReference w:type="default" r:id="rId9"/>
      <w:footerReference w:type="default" r:id="rId10"/>
      <w:type w:val="continuous"/>
      <w:pgSz w:w="11906" w:h="16838" w:code="9"/>
      <w:pgMar w:top="2835" w:right="1134" w:bottom="1276" w:left="1418" w:header="527" w:footer="249"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A491B" w14:textId="77777777" w:rsidR="00685EFF" w:rsidRDefault="00685EFF">
      <w:r>
        <w:separator/>
      </w:r>
    </w:p>
  </w:endnote>
  <w:endnote w:type="continuationSeparator" w:id="0">
    <w:p w14:paraId="451A2246" w14:textId="77777777" w:rsidR="00685EFF" w:rsidRDefault="00685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C8063" w14:textId="77777777" w:rsidR="00A655BC" w:rsidRPr="00B67D6F" w:rsidRDefault="00A655BC" w:rsidP="00AD5059">
    <w:pPr>
      <w:pStyle w:val="Fuzeile"/>
      <w:tabs>
        <w:tab w:val="clear" w:pos="4536"/>
        <w:tab w:val="clear" w:pos="9072"/>
      </w:tabs>
      <w:ind w:right="-2"/>
      <w:jc w:val="center"/>
      <w:rPr>
        <w:color w:val="808080" w:themeColor="background1" w:themeShade="80"/>
        <w:sz w:val="18"/>
        <w:szCs w:val="18"/>
      </w:rPr>
    </w:pPr>
    <w:r w:rsidRPr="00B67D6F">
      <w:rPr>
        <w:color w:val="808080" w:themeColor="background1" w:themeShade="80"/>
        <w:sz w:val="18"/>
        <w:szCs w:val="18"/>
      </w:rPr>
      <w:t xml:space="preserve">Verband Aargauischer Stromversorger </w:t>
    </w:r>
    <w:r w:rsidRPr="00B67D6F">
      <w:rPr>
        <w:rFonts w:ascii="Calibri" w:hAnsi="Calibri"/>
        <w:color w:val="808080" w:themeColor="background1" w:themeShade="80"/>
        <w:sz w:val="18"/>
        <w:szCs w:val="18"/>
      </w:rPr>
      <w:t>·</w:t>
    </w:r>
    <w:r w:rsidRPr="00B67D6F">
      <w:rPr>
        <w:color w:val="808080" w:themeColor="background1" w:themeShade="80"/>
        <w:sz w:val="18"/>
        <w:szCs w:val="18"/>
      </w:rPr>
      <w:t xml:space="preserve"> Gaswerkstrasse 5 </w:t>
    </w:r>
    <w:r w:rsidRPr="00B67D6F">
      <w:rPr>
        <w:rFonts w:ascii="Calibri" w:hAnsi="Calibri"/>
        <w:color w:val="808080" w:themeColor="background1" w:themeShade="80"/>
        <w:sz w:val="18"/>
        <w:szCs w:val="18"/>
      </w:rPr>
      <w:t>·</w:t>
    </w:r>
    <w:r w:rsidRPr="00B67D6F">
      <w:rPr>
        <w:color w:val="808080" w:themeColor="background1" w:themeShade="80"/>
        <w:sz w:val="18"/>
        <w:szCs w:val="18"/>
      </w:rPr>
      <w:t xml:space="preserve"> 5200 Brugg</w:t>
    </w:r>
  </w:p>
  <w:p w14:paraId="35C6241E" w14:textId="77777777" w:rsidR="00A655BC" w:rsidRPr="000F0A3F" w:rsidRDefault="00A655BC" w:rsidP="00AD5059">
    <w:pPr>
      <w:pStyle w:val="Fuzeile"/>
      <w:tabs>
        <w:tab w:val="clear" w:pos="4536"/>
      </w:tabs>
      <w:jc w:val="center"/>
      <w:rPr>
        <w:color w:val="808080" w:themeColor="background1" w:themeShade="80"/>
        <w:sz w:val="18"/>
        <w:szCs w:val="18"/>
        <w:lang w:val="de-CH"/>
      </w:rPr>
    </w:pPr>
    <w:r w:rsidRPr="00B67D6F">
      <w:rPr>
        <w:color w:val="808080" w:themeColor="background1" w:themeShade="80"/>
        <w:sz w:val="18"/>
        <w:szCs w:val="18"/>
      </w:rPr>
      <w:t xml:space="preserve">Tel. 056 442 58 33 </w:t>
    </w:r>
    <w:r w:rsidRPr="00B67D6F">
      <w:rPr>
        <w:rFonts w:ascii="Calibri" w:hAnsi="Calibri"/>
        <w:color w:val="808080" w:themeColor="background1" w:themeShade="80"/>
        <w:sz w:val="18"/>
        <w:szCs w:val="18"/>
      </w:rPr>
      <w:t>·</w:t>
    </w:r>
    <w:r w:rsidRPr="00B67D6F">
      <w:rPr>
        <w:color w:val="808080" w:themeColor="background1" w:themeShade="80"/>
        <w:sz w:val="18"/>
        <w:szCs w:val="18"/>
      </w:rPr>
      <w:t xml:space="preserve"> </w:t>
    </w:r>
    <w:r w:rsidR="004E6C54" w:rsidRPr="00B67D6F">
      <w:rPr>
        <w:color w:val="808080" w:themeColor="background1" w:themeShade="80"/>
        <w:sz w:val="18"/>
        <w:szCs w:val="18"/>
      </w:rPr>
      <w:t>info@vas.ch</w:t>
    </w:r>
    <w:r w:rsidRPr="00B67D6F">
      <w:rPr>
        <w:color w:val="808080" w:themeColor="background1" w:themeShade="80"/>
        <w:sz w:val="18"/>
        <w:szCs w:val="18"/>
      </w:rPr>
      <w:t xml:space="preserve"> </w:t>
    </w:r>
    <w:r w:rsidRPr="00B67D6F">
      <w:rPr>
        <w:rFonts w:ascii="Calibri" w:hAnsi="Calibri"/>
        <w:color w:val="808080" w:themeColor="background1" w:themeShade="80"/>
        <w:sz w:val="18"/>
        <w:szCs w:val="18"/>
      </w:rPr>
      <w:t>·</w:t>
    </w:r>
    <w:r w:rsidRPr="00B67D6F">
      <w:rPr>
        <w:color w:val="808080" w:themeColor="background1" w:themeShade="80"/>
        <w:sz w:val="18"/>
        <w:szCs w:val="18"/>
      </w:rPr>
      <w:t xml:space="preserve"> www.vas.ch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036F9" w14:textId="77777777" w:rsidR="00685EFF" w:rsidRDefault="00685EFF">
      <w:r>
        <w:separator/>
      </w:r>
    </w:p>
  </w:footnote>
  <w:footnote w:type="continuationSeparator" w:id="0">
    <w:p w14:paraId="3AD92F21" w14:textId="77777777" w:rsidR="00685EFF" w:rsidRDefault="00685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C1F5C" w14:textId="742A4827" w:rsidR="00A655BC" w:rsidRDefault="000161E4">
    <w:pPr>
      <w:pStyle w:val="Kopfzeile"/>
    </w:pPr>
    <w:r>
      <w:rPr>
        <w:noProof/>
        <w:sz w:val="20"/>
        <w:lang w:val="de-CH" w:eastAsia="de-CH"/>
      </w:rPr>
      <mc:AlternateContent>
        <mc:Choice Requires="wps">
          <w:drawing>
            <wp:anchor distT="0" distB="0" distL="114300" distR="114300" simplePos="0" relativeHeight="251659264" behindDoc="0" locked="0" layoutInCell="1" allowOverlap="1" wp14:anchorId="0F4DC23F" wp14:editId="3521B5E4">
              <wp:simplePos x="0" y="0"/>
              <wp:positionH relativeFrom="column">
                <wp:posOffset>-1114425</wp:posOffset>
              </wp:positionH>
              <wp:positionV relativeFrom="paragraph">
                <wp:posOffset>-275590</wp:posOffset>
              </wp:positionV>
              <wp:extent cx="1485900" cy="168275"/>
              <wp:effectExtent l="9525" t="0" r="9525" b="12065"/>
              <wp:wrapNone/>
              <wp:docPr id="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485900" cy="168275"/>
                      </a:xfrm>
                      <a:custGeom>
                        <a:avLst/>
                        <a:gdLst>
                          <a:gd name="T0" fmla="*/ 0 w 10470"/>
                          <a:gd name="T1" fmla="*/ 0 h 1"/>
                          <a:gd name="T2" fmla="*/ 10470 w 10470"/>
                          <a:gd name="T3" fmla="*/ 0 h 1"/>
                        </a:gdLst>
                        <a:ahLst/>
                        <a:cxnLst>
                          <a:cxn ang="0">
                            <a:pos x="T0" y="T1"/>
                          </a:cxn>
                          <a:cxn ang="0">
                            <a:pos x="T2" y="T3"/>
                          </a:cxn>
                        </a:cxnLst>
                        <a:rect l="0" t="0" r="r" b="b"/>
                        <a:pathLst>
                          <a:path w="10470" h="1">
                            <a:moveTo>
                              <a:pt x="0" y="0"/>
                            </a:moveTo>
                            <a:lnTo>
                              <a:pt x="10470" y="0"/>
                            </a:lnTo>
                          </a:path>
                        </a:pathLst>
                      </a:custGeom>
                      <a:noFill/>
                      <a:ln w="15875">
                        <a:solidFill>
                          <a:srgbClr val="FCF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22924E9" id="Freeform 11" o:spid="_x0000_s1026" style="position:absolute;margin-left:-87.75pt;margin-top:-21.7pt;width:117pt;height:13.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4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" path="m,l10470,e" filled="f" strokecolor="#fcf600" strokeweight="1.25pt">
              <v:path arrowok="t" o:connecttype="custom" o:connectlocs="0,0;1485900,0" o:connectangles="0,0"/>
            </v:shape>
          </w:pict>
        </mc:Fallback>
      </mc:AlternateContent>
    </w:r>
    <w:r>
      <w:rPr>
        <w:noProof/>
        <w:sz w:val="20"/>
        <w:lang w:val="de-CH" w:eastAsia="de-CH"/>
      </w:rPr>
      <mc:AlternateContent>
        <mc:Choice Requires="wps">
          <w:drawing>
            <wp:anchor distT="0" distB="0" distL="114300" distR="114300" simplePos="0" relativeHeight="251656192" behindDoc="0" locked="0" layoutInCell="1" allowOverlap="1" wp14:anchorId="694BBED9" wp14:editId="19E56E90">
              <wp:simplePos x="0" y="0"/>
              <wp:positionH relativeFrom="column">
                <wp:posOffset>0</wp:posOffset>
              </wp:positionH>
              <wp:positionV relativeFrom="paragraph">
                <wp:posOffset>565785</wp:posOffset>
              </wp:positionV>
              <wp:extent cx="6577965" cy="635"/>
              <wp:effectExtent l="9525" t="13335" r="13335" b="14605"/>
              <wp:wrapNone/>
              <wp:docPr id="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7965" cy="635"/>
                      </a:xfrm>
                      <a:custGeom>
                        <a:avLst/>
                        <a:gdLst>
                          <a:gd name="T0" fmla="*/ 0 w 10470"/>
                          <a:gd name="T1" fmla="*/ 0 h 1"/>
                          <a:gd name="T2" fmla="*/ 10470 w 10470"/>
                          <a:gd name="T3" fmla="*/ 0 h 1"/>
                        </a:gdLst>
                        <a:ahLst/>
                        <a:cxnLst>
                          <a:cxn ang="0">
                            <a:pos x="T0" y="T1"/>
                          </a:cxn>
                          <a:cxn ang="0">
                            <a:pos x="T2" y="T3"/>
                          </a:cxn>
                        </a:cxnLst>
                        <a:rect l="0" t="0" r="r" b="b"/>
                        <a:pathLst>
                          <a:path w="10470" h="1">
                            <a:moveTo>
                              <a:pt x="0" y="0"/>
                            </a:moveTo>
                            <a:lnTo>
                              <a:pt x="10470" y="0"/>
                            </a:lnTo>
                          </a:path>
                        </a:pathLst>
                      </a:custGeom>
                      <a:noFill/>
                      <a:ln w="15875">
                        <a:solidFill>
                          <a:srgbClr val="FCF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A8438E9" id="Freeform 4" o:spid="_x0000_s1026" style="position:absolute;margin-left:0;margin-top:44.55pt;width:517.95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4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" path="m,l10470,e" filled="f" strokecolor="#fcf600" strokeweight="1.25pt">
              <v:path arrowok="t" o:connecttype="custom" o:connectlocs="0,0;6577965,0" o:connectangles="0,0"/>
            </v:shape>
          </w:pict>
        </mc:Fallback>
      </mc:AlternateContent>
    </w:r>
    <w:r w:rsidR="00A655BC" w:rsidRPr="002941F2">
      <w:rPr>
        <w:b/>
        <w:bCs/>
        <w:sz w:val="44"/>
      </w:rPr>
      <w:object w:dxaOrig="2130" w:dyaOrig="780" w14:anchorId="11CF5B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39pt">
          <v:imagedata r:id="rId1" o:title=""/>
        </v:shape>
        <o:OLEObject Type="Embed" ProgID="Word.Picture.8" ShapeID="_x0000_i1025" DrawAspect="Content" ObjectID="_1789223084"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57DC1"/>
    <w:multiLevelType w:val="hybridMultilevel"/>
    <w:tmpl w:val="DE7CFAAE"/>
    <w:lvl w:ilvl="0" w:tplc="AB069A02">
      <w:start w:val="500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2421D34"/>
    <w:multiLevelType w:val="hybridMultilevel"/>
    <w:tmpl w:val="5C4E8208"/>
    <w:lvl w:ilvl="0" w:tplc="21A06D6C">
      <w:numFmt w:val="bullet"/>
      <w:lvlText w:val="-"/>
      <w:lvlJc w:val="left"/>
      <w:pPr>
        <w:ind w:left="720" w:hanging="360"/>
      </w:pPr>
      <w:rPr>
        <w:rFonts w:ascii="Calibri" w:eastAsia="Calibri" w:hAnsi="Calibri"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9B5617C"/>
    <w:multiLevelType w:val="hybridMultilevel"/>
    <w:tmpl w:val="B24CB522"/>
    <w:lvl w:ilvl="0" w:tplc="01CE8B3A">
      <w:start w:val="5608"/>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34126A"/>
    <w:multiLevelType w:val="hybridMultilevel"/>
    <w:tmpl w:val="489AB42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6D0A5E9D"/>
    <w:multiLevelType w:val="hybridMultilevel"/>
    <w:tmpl w:val="B00E8DD4"/>
    <w:lvl w:ilvl="0" w:tplc="5686D01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70606DDB"/>
    <w:multiLevelType w:val="hybridMultilevel"/>
    <w:tmpl w:val="76E6EABE"/>
    <w:lvl w:ilvl="0" w:tplc="FCF4AD58">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454097"/>
    <w:multiLevelType w:val="hybridMultilevel"/>
    <w:tmpl w:val="5EDA704C"/>
    <w:lvl w:ilvl="0" w:tplc="C9B005A8">
      <w:start w:val="2"/>
      <w:numFmt w:val="decimal"/>
      <w:lvlText w:val="%1."/>
      <w:lvlJc w:val="left"/>
      <w:pPr>
        <w:tabs>
          <w:tab w:val="num" w:pos="3405"/>
        </w:tabs>
        <w:ind w:left="3405" w:hanging="570"/>
      </w:pPr>
      <w:rPr>
        <w:rFonts w:hint="default"/>
      </w:rPr>
    </w:lvl>
    <w:lvl w:ilvl="1" w:tplc="04070019">
      <w:start w:val="1"/>
      <w:numFmt w:val="lowerLetter"/>
      <w:lvlText w:val="%2."/>
      <w:lvlJc w:val="left"/>
      <w:pPr>
        <w:tabs>
          <w:tab w:val="num" w:pos="3915"/>
        </w:tabs>
        <w:ind w:left="3915" w:hanging="360"/>
      </w:pPr>
    </w:lvl>
    <w:lvl w:ilvl="2" w:tplc="0407001B" w:tentative="1">
      <w:start w:val="1"/>
      <w:numFmt w:val="lowerRoman"/>
      <w:lvlText w:val="%3."/>
      <w:lvlJc w:val="right"/>
      <w:pPr>
        <w:tabs>
          <w:tab w:val="num" w:pos="4635"/>
        </w:tabs>
        <w:ind w:left="4635" w:hanging="180"/>
      </w:pPr>
    </w:lvl>
    <w:lvl w:ilvl="3" w:tplc="0407000F" w:tentative="1">
      <w:start w:val="1"/>
      <w:numFmt w:val="decimal"/>
      <w:lvlText w:val="%4."/>
      <w:lvlJc w:val="left"/>
      <w:pPr>
        <w:tabs>
          <w:tab w:val="num" w:pos="5355"/>
        </w:tabs>
        <w:ind w:left="5355" w:hanging="360"/>
      </w:pPr>
    </w:lvl>
    <w:lvl w:ilvl="4" w:tplc="04070019" w:tentative="1">
      <w:start w:val="1"/>
      <w:numFmt w:val="lowerLetter"/>
      <w:lvlText w:val="%5."/>
      <w:lvlJc w:val="left"/>
      <w:pPr>
        <w:tabs>
          <w:tab w:val="num" w:pos="6075"/>
        </w:tabs>
        <w:ind w:left="6075" w:hanging="360"/>
      </w:pPr>
    </w:lvl>
    <w:lvl w:ilvl="5" w:tplc="0407001B" w:tentative="1">
      <w:start w:val="1"/>
      <w:numFmt w:val="lowerRoman"/>
      <w:lvlText w:val="%6."/>
      <w:lvlJc w:val="right"/>
      <w:pPr>
        <w:tabs>
          <w:tab w:val="num" w:pos="6795"/>
        </w:tabs>
        <w:ind w:left="6795" w:hanging="180"/>
      </w:pPr>
    </w:lvl>
    <w:lvl w:ilvl="6" w:tplc="0407000F" w:tentative="1">
      <w:start w:val="1"/>
      <w:numFmt w:val="decimal"/>
      <w:lvlText w:val="%7."/>
      <w:lvlJc w:val="left"/>
      <w:pPr>
        <w:tabs>
          <w:tab w:val="num" w:pos="7515"/>
        </w:tabs>
        <w:ind w:left="7515" w:hanging="360"/>
      </w:pPr>
    </w:lvl>
    <w:lvl w:ilvl="7" w:tplc="04070019" w:tentative="1">
      <w:start w:val="1"/>
      <w:numFmt w:val="lowerLetter"/>
      <w:lvlText w:val="%8."/>
      <w:lvlJc w:val="left"/>
      <w:pPr>
        <w:tabs>
          <w:tab w:val="num" w:pos="8235"/>
        </w:tabs>
        <w:ind w:left="8235" w:hanging="360"/>
      </w:pPr>
    </w:lvl>
    <w:lvl w:ilvl="8" w:tplc="0407001B" w:tentative="1">
      <w:start w:val="1"/>
      <w:numFmt w:val="lowerRoman"/>
      <w:lvlText w:val="%9."/>
      <w:lvlJc w:val="right"/>
      <w:pPr>
        <w:tabs>
          <w:tab w:val="num" w:pos="8955"/>
        </w:tabs>
        <w:ind w:left="8955" w:hanging="180"/>
      </w:pPr>
    </w:lvl>
  </w:abstractNum>
  <w:abstractNum w:abstractNumId="7" w15:restartNumberingAfterBreak="0">
    <w:nsid w:val="74B9230C"/>
    <w:multiLevelType w:val="hybridMultilevel"/>
    <w:tmpl w:val="7DAEF39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2"/>
  </w:num>
  <w:num w:numId="5">
    <w:abstractNumId w:val="4"/>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95"/>
  <w:drawingGridVerticalSpacing w:val="265"/>
  <w:displayHorizontalDrawingGridEvery w:val="0"/>
  <w:noPunctuationKerning/>
  <w:characterSpacingControl w:val="doNotCompress"/>
  <w:hdrShapeDefaults>
    <o:shapedefaults v:ext="edit" spidmax="2049">
      <o:colormru v:ext="edit" colors="#fcf6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8E"/>
    <w:rsid w:val="00000F56"/>
    <w:rsid w:val="00004F4E"/>
    <w:rsid w:val="000118D8"/>
    <w:rsid w:val="00013BAD"/>
    <w:rsid w:val="000161E4"/>
    <w:rsid w:val="000561A4"/>
    <w:rsid w:val="00076896"/>
    <w:rsid w:val="000811D9"/>
    <w:rsid w:val="00086ADE"/>
    <w:rsid w:val="0009442F"/>
    <w:rsid w:val="00097D1A"/>
    <w:rsid w:val="000A166E"/>
    <w:rsid w:val="000C37A7"/>
    <w:rsid w:val="000D3DAB"/>
    <w:rsid w:val="000E396F"/>
    <w:rsid w:val="000E58D7"/>
    <w:rsid w:val="000F0095"/>
    <w:rsid w:val="000F0A3F"/>
    <w:rsid w:val="00100423"/>
    <w:rsid w:val="00107BF0"/>
    <w:rsid w:val="00112951"/>
    <w:rsid w:val="00120842"/>
    <w:rsid w:val="00142FE9"/>
    <w:rsid w:val="00152C49"/>
    <w:rsid w:val="001573D8"/>
    <w:rsid w:val="001629C9"/>
    <w:rsid w:val="001742A1"/>
    <w:rsid w:val="00177514"/>
    <w:rsid w:val="001854BF"/>
    <w:rsid w:val="001971C1"/>
    <w:rsid w:val="001A0B84"/>
    <w:rsid w:val="001A5056"/>
    <w:rsid w:val="001B53E4"/>
    <w:rsid w:val="001B7780"/>
    <w:rsid w:val="001B7A81"/>
    <w:rsid w:val="001C1188"/>
    <w:rsid w:val="001C2116"/>
    <w:rsid w:val="001D34AC"/>
    <w:rsid w:val="001D7CE2"/>
    <w:rsid w:val="001E03BC"/>
    <w:rsid w:val="001E0A57"/>
    <w:rsid w:val="001E41CA"/>
    <w:rsid w:val="001E555A"/>
    <w:rsid w:val="001E5728"/>
    <w:rsid w:val="001F4516"/>
    <w:rsid w:val="001F4FAC"/>
    <w:rsid w:val="00207C1D"/>
    <w:rsid w:val="00221B28"/>
    <w:rsid w:val="00236DE3"/>
    <w:rsid w:val="0024557B"/>
    <w:rsid w:val="00257584"/>
    <w:rsid w:val="00257ED0"/>
    <w:rsid w:val="0026395B"/>
    <w:rsid w:val="0026436C"/>
    <w:rsid w:val="002726FD"/>
    <w:rsid w:val="00276B3B"/>
    <w:rsid w:val="00287A12"/>
    <w:rsid w:val="00292C95"/>
    <w:rsid w:val="0029386A"/>
    <w:rsid w:val="002941F2"/>
    <w:rsid w:val="00297E6A"/>
    <w:rsid w:val="002B56B3"/>
    <w:rsid w:val="002C7136"/>
    <w:rsid w:val="002D236F"/>
    <w:rsid w:val="002D288E"/>
    <w:rsid w:val="002D5C49"/>
    <w:rsid w:val="00301700"/>
    <w:rsid w:val="003023AC"/>
    <w:rsid w:val="00314193"/>
    <w:rsid w:val="00321CFF"/>
    <w:rsid w:val="003324E9"/>
    <w:rsid w:val="00334766"/>
    <w:rsid w:val="00337423"/>
    <w:rsid w:val="00341742"/>
    <w:rsid w:val="00343290"/>
    <w:rsid w:val="003434EC"/>
    <w:rsid w:val="00343917"/>
    <w:rsid w:val="00361F4D"/>
    <w:rsid w:val="00361F88"/>
    <w:rsid w:val="00371B26"/>
    <w:rsid w:val="00374949"/>
    <w:rsid w:val="00375C7D"/>
    <w:rsid w:val="00384DCD"/>
    <w:rsid w:val="003879B5"/>
    <w:rsid w:val="0039768A"/>
    <w:rsid w:val="003A4325"/>
    <w:rsid w:val="003A6A01"/>
    <w:rsid w:val="003A753B"/>
    <w:rsid w:val="003B04DD"/>
    <w:rsid w:val="003C55C5"/>
    <w:rsid w:val="003C7FAA"/>
    <w:rsid w:val="003D288A"/>
    <w:rsid w:val="003E2E4C"/>
    <w:rsid w:val="003E34F8"/>
    <w:rsid w:val="003E5F9D"/>
    <w:rsid w:val="003F0B58"/>
    <w:rsid w:val="003F775D"/>
    <w:rsid w:val="004079EB"/>
    <w:rsid w:val="00415F96"/>
    <w:rsid w:val="00417015"/>
    <w:rsid w:val="00421D25"/>
    <w:rsid w:val="00434A69"/>
    <w:rsid w:val="004454F5"/>
    <w:rsid w:val="00451C49"/>
    <w:rsid w:val="00466D15"/>
    <w:rsid w:val="00473FA8"/>
    <w:rsid w:val="004827C2"/>
    <w:rsid w:val="004970B2"/>
    <w:rsid w:val="004B7915"/>
    <w:rsid w:val="004C14B9"/>
    <w:rsid w:val="004D2158"/>
    <w:rsid w:val="004D5815"/>
    <w:rsid w:val="004D59E8"/>
    <w:rsid w:val="004E6C54"/>
    <w:rsid w:val="004F50E1"/>
    <w:rsid w:val="004F5C9C"/>
    <w:rsid w:val="00534D88"/>
    <w:rsid w:val="0053519C"/>
    <w:rsid w:val="0056157A"/>
    <w:rsid w:val="005651B0"/>
    <w:rsid w:val="0056757C"/>
    <w:rsid w:val="0059472D"/>
    <w:rsid w:val="005A2ABA"/>
    <w:rsid w:val="005A6892"/>
    <w:rsid w:val="005A6A8B"/>
    <w:rsid w:val="005A71E2"/>
    <w:rsid w:val="005B186F"/>
    <w:rsid w:val="005C7402"/>
    <w:rsid w:val="005C74E1"/>
    <w:rsid w:val="005D66EF"/>
    <w:rsid w:val="005E1399"/>
    <w:rsid w:val="005F596F"/>
    <w:rsid w:val="00607599"/>
    <w:rsid w:val="00611BED"/>
    <w:rsid w:val="00621446"/>
    <w:rsid w:val="00623D7F"/>
    <w:rsid w:val="00625672"/>
    <w:rsid w:val="00631F9C"/>
    <w:rsid w:val="00661634"/>
    <w:rsid w:val="00685EFF"/>
    <w:rsid w:val="00695B87"/>
    <w:rsid w:val="006C0A1E"/>
    <w:rsid w:val="006D3215"/>
    <w:rsid w:val="006E2C35"/>
    <w:rsid w:val="006E65D9"/>
    <w:rsid w:val="006F615F"/>
    <w:rsid w:val="00701FE9"/>
    <w:rsid w:val="00711DA2"/>
    <w:rsid w:val="007138AE"/>
    <w:rsid w:val="00716225"/>
    <w:rsid w:val="007248E7"/>
    <w:rsid w:val="00724A3E"/>
    <w:rsid w:val="007315B8"/>
    <w:rsid w:val="00737832"/>
    <w:rsid w:val="007405ED"/>
    <w:rsid w:val="007446B6"/>
    <w:rsid w:val="00755470"/>
    <w:rsid w:val="00760199"/>
    <w:rsid w:val="007625E0"/>
    <w:rsid w:val="00762AC5"/>
    <w:rsid w:val="00765145"/>
    <w:rsid w:val="007727EA"/>
    <w:rsid w:val="007732C5"/>
    <w:rsid w:val="00775832"/>
    <w:rsid w:val="007803A4"/>
    <w:rsid w:val="007A4F55"/>
    <w:rsid w:val="007D1FCD"/>
    <w:rsid w:val="007F2719"/>
    <w:rsid w:val="00801A99"/>
    <w:rsid w:val="00814069"/>
    <w:rsid w:val="008160FF"/>
    <w:rsid w:val="0082382B"/>
    <w:rsid w:val="00825A4C"/>
    <w:rsid w:val="0082716F"/>
    <w:rsid w:val="0084719B"/>
    <w:rsid w:val="00851172"/>
    <w:rsid w:val="00852C3F"/>
    <w:rsid w:val="00854A74"/>
    <w:rsid w:val="00857B09"/>
    <w:rsid w:val="008607AA"/>
    <w:rsid w:val="00874818"/>
    <w:rsid w:val="00875576"/>
    <w:rsid w:val="00881579"/>
    <w:rsid w:val="00881F86"/>
    <w:rsid w:val="008825CB"/>
    <w:rsid w:val="00896CD6"/>
    <w:rsid w:val="008A10FD"/>
    <w:rsid w:val="008A6EC4"/>
    <w:rsid w:val="008B4AF0"/>
    <w:rsid w:val="008D5690"/>
    <w:rsid w:val="008D7B73"/>
    <w:rsid w:val="008E671F"/>
    <w:rsid w:val="008E6C62"/>
    <w:rsid w:val="009011DF"/>
    <w:rsid w:val="00901F0D"/>
    <w:rsid w:val="00902DC5"/>
    <w:rsid w:val="00902F11"/>
    <w:rsid w:val="009061CE"/>
    <w:rsid w:val="00915FDE"/>
    <w:rsid w:val="00922C49"/>
    <w:rsid w:val="00925C34"/>
    <w:rsid w:val="00935B3A"/>
    <w:rsid w:val="00941646"/>
    <w:rsid w:val="0096708A"/>
    <w:rsid w:val="0097035B"/>
    <w:rsid w:val="009718DE"/>
    <w:rsid w:val="00972B85"/>
    <w:rsid w:val="009839AE"/>
    <w:rsid w:val="00987E7F"/>
    <w:rsid w:val="009965E1"/>
    <w:rsid w:val="00996ADC"/>
    <w:rsid w:val="009A6CDD"/>
    <w:rsid w:val="009B0DD0"/>
    <w:rsid w:val="009B3D8E"/>
    <w:rsid w:val="009C4159"/>
    <w:rsid w:val="009D19B2"/>
    <w:rsid w:val="009D3C12"/>
    <w:rsid w:val="009D759F"/>
    <w:rsid w:val="009F487C"/>
    <w:rsid w:val="00A11500"/>
    <w:rsid w:val="00A1150F"/>
    <w:rsid w:val="00A23644"/>
    <w:rsid w:val="00A243ED"/>
    <w:rsid w:val="00A26C12"/>
    <w:rsid w:val="00A608B7"/>
    <w:rsid w:val="00A655BC"/>
    <w:rsid w:val="00A70CC2"/>
    <w:rsid w:val="00A82273"/>
    <w:rsid w:val="00AB7E78"/>
    <w:rsid w:val="00AC5203"/>
    <w:rsid w:val="00AC6D58"/>
    <w:rsid w:val="00AD5059"/>
    <w:rsid w:val="00AD7BE7"/>
    <w:rsid w:val="00AE3DD0"/>
    <w:rsid w:val="00AF238C"/>
    <w:rsid w:val="00B1126B"/>
    <w:rsid w:val="00B2476B"/>
    <w:rsid w:val="00B4399C"/>
    <w:rsid w:val="00B44D6F"/>
    <w:rsid w:val="00B45E66"/>
    <w:rsid w:val="00B47367"/>
    <w:rsid w:val="00B61DA5"/>
    <w:rsid w:val="00B62A26"/>
    <w:rsid w:val="00B630C5"/>
    <w:rsid w:val="00B6363E"/>
    <w:rsid w:val="00B67D6F"/>
    <w:rsid w:val="00B80609"/>
    <w:rsid w:val="00B8197F"/>
    <w:rsid w:val="00B86136"/>
    <w:rsid w:val="00B9144D"/>
    <w:rsid w:val="00B9329A"/>
    <w:rsid w:val="00BA43A0"/>
    <w:rsid w:val="00BA728B"/>
    <w:rsid w:val="00BB301D"/>
    <w:rsid w:val="00BD332D"/>
    <w:rsid w:val="00BE4C08"/>
    <w:rsid w:val="00BE76A7"/>
    <w:rsid w:val="00C065B1"/>
    <w:rsid w:val="00C06BC5"/>
    <w:rsid w:val="00C1664B"/>
    <w:rsid w:val="00C22E20"/>
    <w:rsid w:val="00C2544D"/>
    <w:rsid w:val="00C276C8"/>
    <w:rsid w:val="00C3442D"/>
    <w:rsid w:val="00C422D4"/>
    <w:rsid w:val="00C47315"/>
    <w:rsid w:val="00C50A6B"/>
    <w:rsid w:val="00C65610"/>
    <w:rsid w:val="00C65FCC"/>
    <w:rsid w:val="00C841AF"/>
    <w:rsid w:val="00C85DFA"/>
    <w:rsid w:val="00C937C1"/>
    <w:rsid w:val="00C9622D"/>
    <w:rsid w:val="00CA1747"/>
    <w:rsid w:val="00CA67BB"/>
    <w:rsid w:val="00CA6CBF"/>
    <w:rsid w:val="00CB4632"/>
    <w:rsid w:val="00CC67EC"/>
    <w:rsid w:val="00CC7BFE"/>
    <w:rsid w:val="00CD5096"/>
    <w:rsid w:val="00CE0124"/>
    <w:rsid w:val="00CF1520"/>
    <w:rsid w:val="00D0107D"/>
    <w:rsid w:val="00D06B7D"/>
    <w:rsid w:val="00D14772"/>
    <w:rsid w:val="00D15463"/>
    <w:rsid w:val="00D208DC"/>
    <w:rsid w:val="00D22005"/>
    <w:rsid w:val="00D25B5A"/>
    <w:rsid w:val="00D26336"/>
    <w:rsid w:val="00D357EB"/>
    <w:rsid w:val="00D36637"/>
    <w:rsid w:val="00D43722"/>
    <w:rsid w:val="00D4579C"/>
    <w:rsid w:val="00D50B1D"/>
    <w:rsid w:val="00D57DC3"/>
    <w:rsid w:val="00D76BD0"/>
    <w:rsid w:val="00DA28B2"/>
    <w:rsid w:val="00DB008E"/>
    <w:rsid w:val="00DD0CC4"/>
    <w:rsid w:val="00DD4EC9"/>
    <w:rsid w:val="00DE3B1D"/>
    <w:rsid w:val="00DE4AD7"/>
    <w:rsid w:val="00DE5618"/>
    <w:rsid w:val="00DF0371"/>
    <w:rsid w:val="00DF2CA5"/>
    <w:rsid w:val="00DF31F1"/>
    <w:rsid w:val="00E1617D"/>
    <w:rsid w:val="00E175EA"/>
    <w:rsid w:val="00E2241C"/>
    <w:rsid w:val="00E23E12"/>
    <w:rsid w:val="00E244DB"/>
    <w:rsid w:val="00E2669D"/>
    <w:rsid w:val="00E26B09"/>
    <w:rsid w:val="00E35F16"/>
    <w:rsid w:val="00E4241B"/>
    <w:rsid w:val="00E55971"/>
    <w:rsid w:val="00E61C37"/>
    <w:rsid w:val="00E800C8"/>
    <w:rsid w:val="00E95A62"/>
    <w:rsid w:val="00EA7422"/>
    <w:rsid w:val="00EB331C"/>
    <w:rsid w:val="00EC3591"/>
    <w:rsid w:val="00EC3AC7"/>
    <w:rsid w:val="00ED26B2"/>
    <w:rsid w:val="00EE1898"/>
    <w:rsid w:val="00F01E69"/>
    <w:rsid w:val="00F148EC"/>
    <w:rsid w:val="00F16981"/>
    <w:rsid w:val="00F22DD4"/>
    <w:rsid w:val="00F269FC"/>
    <w:rsid w:val="00F31648"/>
    <w:rsid w:val="00F44953"/>
    <w:rsid w:val="00F5265D"/>
    <w:rsid w:val="00F60751"/>
    <w:rsid w:val="00F61D36"/>
    <w:rsid w:val="00F64F3B"/>
    <w:rsid w:val="00F724CF"/>
    <w:rsid w:val="00F80E01"/>
    <w:rsid w:val="00F861CE"/>
    <w:rsid w:val="00FA5C1A"/>
    <w:rsid w:val="00FC6F5A"/>
    <w:rsid w:val="00FD2B4D"/>
    <w:rsid w:val="00FD4E3E"/>
    <w:rsid w:val="00FD7514"/>
    <w:rsid w:val="00FE0090"/>
    <w:rsid w:val="00FE60B5"/>
    <w:rsid w:val="00FF1896"/>
    <w:rsid w:val="00FF315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f600"/>
    </o:shapedefaults>
    <o:shapelayout v:ext="edit">
      <o:idmap v:ext="edit" data="1"/>
    </o:shapelayout>
  </w:shapeDefaults>
  <w:decimalSymbol w:val="."/>
  <w:listSeparator w:val=";"/>
  <w14:docId w14:val="068BBFD5"/>
  <w15:docId w15:val="{6749C07E-BED9-4A74-9BDB-7F395769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925C34"/>
    <w:rPr>
      <w:rFonts w:ascii="Arial" w:hAnsi="Arial" w:cs="Arial"/>
      <w:sz w:val="26"/>
      <w:szCs w:val="24"/>
      <w:lang w:val="de-DE" w:eastAsia="de-DE"/>
    </w:rPr>
  </w:style>
  <w:style w:type="paragraph" w:styleId="berschrift1">
    <w:name w:val="heading 1"/>
    <w:basedOn w:val="Standard"/>
    <w:next w:val="Standard"/>
    <w:qFormat/>
    <w:rsid w:val="00925C34"/>
    <w:pPr>
      <w:keepNext/>
      <w:tabs>
        <w:tab w:val="left" w:pos="5529"/>
      </w:tabs>
      <w:outlineLvl w:val="0"/>
    </w:pPr>
    <w:rPr>
      <w:rFonts w:cs="Times New Roman"/>
      <w:b/>
      <w:sz w:val="36"/>
      <w:szCs w:val="20"/>
    </w:rPr>
  </w:style>
  <w:style w:type="paragraph" w:styleId="berschrift2">
    <w:name w:val="heading 2"/>
    <w:basedOn w:val="Standard"/>
    <w:next w:val="Standard"/>
    <w:link w:val="berschrift2Zchn"/>
    <w:unhideWhenUsed/>
    <w:qFormat/>
    <w:rsid w:val="00D4579C"/>
    <w:pPr>
      <w:keepNext/>
      <w:keepLines/>
      <w:spacing w:before="200"/>
      <w:outlineLvl w:val="1"/>
    </w:pPr>
    <w:rPr>
      <w:rFonts w:asciiTheme="majorHAnsi" w:eastAsiaTheme="majorEastAsia" w:hAnsiTheme="majorHAnsi" w:cstheme="majorBidi"/>
      <w:b/>
      <w:bCs/>
      <w:color w:val="4F81BD" w:themeColor="accent1"/>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25C34"/>
    <w:pPr>
      <w:tabs>
        <w:tab w:val="center" w:pos="4536"/>
        <w:tab w:val="right" w:pos="9072"/>
      </w:tabs>
    </w:pPr>
  </w:style>
  <w:style w:type="paragraph" w:styleId="Fuzeile">
    <w:name w:val="footer"/>
    <w:basedOn w:val="Standard"/>
    <w:link w:val="FuzeileZchn"/>
    <w:uiPriority w:val="99"/>
    <w:rsid w:val="00925C34"/>
    <w:pPr>
      <w:tabs>
        <w:tab w:val="center" w:pos="4536"/>
        <w:tab w:val="right" w:pos="9072"/>
      </w:tabs>
    </w:pPr>
  </w:style>
  <w:style w:type="character" w:styleId="Hyperlink">
    <w:name w:val="Hyperlink"/>
    <w:basedOn w:val="Absatz-Standardschriftart"/>
    <w:rsid w:val="00925C34"/>
    <w:rPr>
      <w:color w:val="0000FF"/>
      <w:u w:val="single"/>
    </w:rPr>
  </w:style>
  <w:style w:type="character" w:styleId="BesuchterLink">
    <w:name w:val="FollowedHyperlink"/>
    <w:basedOn w:val="Absatz-Standardschriftart"/>
    <w:rsid w:val="00925C34"/>
    <w:rPr>
      <w:color w:val="800080"/>
      <w:u w:val="single"/>
    </w:rPr>
  </w:style>
  <w:style w:type="paragraph" w:styleId="Listenabsatz">
    <w:name w:val="List Paragraph"/>
    <w:basedOn w:val="Standard"/>
    <w:qFormat/>
    <w:rsid w:val="005C74E1"/>
    <w:pPr>
      <w:ind w:left="720"/>
      <w:contextualSpacing/>
    </w:pPr>
    <w:rPr>
      <w:rFonts w:eastAsia="Calibri" w:cs="Times New Roman"/>
      <w:sz w:val="24"/>
      <w:szCs w:val="22"/>
      <w:lang w:val="de-CH" w:eastAsia="en-US"/>
    </w:rPr>
  </w:style>
  <w:style w:type="paragraph" w:styleId="Textkrper">
    <w:name w:val="Body Text"/>
    <w:basedOn w:val="Standard"/>
    <w:rsid w:val="005C7402"/>
    <w:pPr>
      <w:spacing w:after="240" w:line="240" w:lineRule="atLeast"/>
      <w:ind w:firstLine="360"/>
      <w:jc w:val="both"/>
    </w:pPr>
    <w:rPr>
      <w:rFonts w:ascii="Garamond" w:hAnsi="Garamond" w:cs="Times New Roman"/>
      <w:spacing w:val="-5"/>
      <w:sz w:val="24"/>
      <w:szCs w:val="20"/>
      <w:lang w:eastAsia="en-US"/>
    </w:rPr>
  </w:style>
  <w:style w:type="paragraph" w:styleId="Sprechblasentext">
    <w:name w:val="Balloon Text"/>
    <w:basedOn w:val="Standard"/>
    <w:link w:val="SprechblasentextZchn"/>
    <w:rsid w:val="003C55C5"/>
    <w:rPr>
      <w:rFonts w:ascii="Tahoma" w:hAnsi="Tahoma" w:cs="Tahoma"/>
      <w:sz w:val="16"/>
      <w:szCs w:val="16"/>
    </w:rPr>
  </w:style>
  <w:style w:type="character" w:customStyle="1" w:styleId="SprechblasentextZchn">
    <w:name w:val="Sprechblasentext Zchn"/>
    <w:basedOn w:val="Absatz-Standardschriftart"/>
    <w:link w:val="Sprechblasentext"/>
    <w:rsid w:val="003C55C5"/>
    <w:rPr>
      <w:rFonts w:ascii="Tahoma" w:hAnsi="Tahoma" w:cs="Tahoma"/>
      <w:sz w:val="16"/>
      <w:szCs w:val="16"/>
      <w:lang w:val="de-DE" w:eastAsia="de-DE"/>
    </w:rPr>
  </w:style>
  <w:style w:type="character" w:customStyle="1" w:styleId="berschrift2Zchn">
    <w:name w:val="Überschrift 2 Zchn"/>
    <w:basedOn w:val="Absatz-Standardschriftart"/>
    <w:link w:val="berschrift2"/>
    <w:rsid w:val="00D4579C"/>
    <w:rPr>
      <w:rFonts w:asciiTheme="majorHAnsi" w:eastAsiaTheme="majorEastAsia" w:hAnsiTheme="majorHAnsi" w:cstheme="majorBidi"/>
      <w:b/>
      <w:bCs/>
      <w:color w:val="4F81BD" w:themeColor="accent1"/>
      <w:sz w:val="26"/>
      <w:szCs w:val="26"/>
      <w:lang w:val="de-DE" w:eastAsia="de-DE"/>
    </w:rPr>
  </w:style>
  <w:style w:type="character" w:styleId="Platzhaltertext">
    <w:name w:val="Placeholder Text"/>
    <w:basedOn w:val="Absatz-Standardschriftart"/>
    <w:uiPriority w:val="99"/>
    <w:semiHidden/>
    <w:rsid w:val="004B7915"/>
    <w:rPr>
      <w:color w:val="808080"/>
    </w:rPr>
  </w:style>
  <w:style w:type="character" w:styleId="NichtaufgelsteErwhnung">
    <w:name w:val="Unresolved Mention"/>
    <w:basedOn w:val="Absatz-Standardschriftart"/>
    <w:uiPriority w:val="99"/>
    <w:semiHidden/>
    <w:unhideWhenUsed/>
    <w:rsid w:val="00A82273"/>
    <w:rPr>
      <w:color w:val="605E5C"/>
      <w:shd w:val="clear" w:color="auto" w:fill="E1DFDD"/>
    </w:rPr>
  </w:style>
  <w:style w:type="character" w:customStyle="1" w:styleId="FuzeileZchn">
    <w:name w:val="Fußzeile Zchn"/>
    <w:basedOn w:val="Absatz-Standardschriftart"/>
    <w:link w:val="Fuzeile"/>
    <w:uiPriority w:val="99"/>
    <w:rsid w:val="000F0A3F"/>
    <w:rPr>
      <w:rFonts w:ascii="Arial" w:hAnsi="Arial" w:cs="Arial"/>
      <w:sz w:val="26"/>
      <w:szCs w:val="24"/>
      <w:lang w:val="de-DE" w:eastAsia="de-DE"/>
    </w:rPr>
  </w:style>
  <w:style w:type="paragraph" w:styleId="Funotentext">
    <w:name w:val="footnote text"/>
    <w:basedOn w:val="Standard"/>
    <w:link w:val="FunotentextZchn"/>
    <w:semiHidden/>
    <w:unhideWhenUsed/>
    <w:rsid w:val="008D5690"/>
    <w:rPr>
      <w:rFonts w:ascii="Times New Roman" w:eastAsia="SimSun" w:hAnsi="Times New Roman" w:cs="Times New Roman"/>
      <w:sz w:val="20"/>
      <w:szCs w:val="20"/>
      <w:lang w:val="de-CH" w:eastAsia="de-CH"/>
    </w:rPr>
  </w:style>
  <w:style w:type="character" w:customStyle="1" w:styleId="FunotentextZchn">
    <w:name w:val="Fußnotentext Zchn"/>
    <w:basedOn w:val="Absatz-Standardschriftart"/>
    <w:link w:val="Funotentext"/>
    <w:semiHidden/>
    <w:rsid w:val="008D5690"/>
    <w:rPr>
      <w:rFonts w:eastAsia="SimSun"/>
    </w:rPr>
  </w:style>
  <w:style w:type="character" w:styleId="Funotenzeichen">
    <w:name w:val="footnote reference"/>
    <w:basedOn w:val="Absatz-Standardschriftart"/>
    <w:semiHidden/>
    <w:unhideWhenUsed/>
    <w:rsid w:val="008D56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771405">
      <w:bodyDiv w:val="1"/>
      <w:marLeft w:val="0"/>
      <w:marRight w:val="0"/>
      <w:marTop w:val="0"/>
      <w:marBottom w:val="0"/>
      <w:divBdr>
        <w:top w:val="none" w:sz="0" w:space="0" w:color="auto"/>
        <w:left w:val="none" w:sz="0" w:space="0" w:color="auto"/>
        <w:bottom w:val="none" w:sz="0" w:space="0" w:color="auto"/>
        <w:right w:val="none" w:sz="0" w:space="0" w:color="auto"/>
      </w:divBdr>
    </w:div>
    <w:div w:id="1839421526">
      <w:bodyDiv w:val="1"/>
      <w:marLeft w:val="0"/>
      <w:marRight w:val="0"/>
      <w:marTop w:val="0"/>
      <w:marBottom w:val="0"/>
      <w:divBdr>
        <w:top w:val="none" w:sz="0" w:space="0" w:color="auto"/>
        <w:left w:val="none" w:sz="0" w:space="0" w:color="auto"/>
        <w:bottom w:val="none" w:sz="0" w:space="0" w:color="auto"/>
        <w:right w:val="none" w:sz="0" w:space="0" w:color="auto"/>
      </w:divBdr>
    </w:div>
    <w:div w:id="211400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sd.admin.ch/newsd/message/attachments/7414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di%20Zurbr&#252;gg\Documents\Benutzerdefinierte%20Office-Vorlagen\VAS.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AFCAF-DCDF-4F37-9020-0154EBD80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VAS</Template>
  <TotalTime>0</TotalTime>
  <Pages>1</Pages>
  <Words>1148</Words>
  <Characters>7239</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VAS</vt:lpstr>
    </vt:vector>
  </TitlesOfParts>
  <Company>VASBrugg</Company>
  <LinksUpToDate>false</LinksUpToDate>
  <CharactersWithSpaces>8371</CharactersWithSpaces>
  <SharedDoc>false</SharedDoc>
  <HLinks>
    <vt:vector size="6" baseType="variant">
      <vt:variant>
        <vt:i4>7405586</vt:i4>
      </vt:variant>
      <vt:variant>
        <vt:i4>3</vt:i4>
      </vt:variant>
      <vt:variant>
        <vt:i4>0</vt:i4>
      </vt:variant>
      <vt:variant>
        <vt:i4>5</vt:i4>
      </vt:variant>
      <vt:variant>
        <vt:lpwstr>mailto:info@vas-aargau.ch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VAS</dc:title>
  <dc:creator>Ruedi Zurbrügg</dc:creator>
  <cp:lastModifiedBy>david.zumsteg</cp:lastModifiedBy>
  <cp:revision>5</cp:revision>
  <cp:lastPrinted>2023-12-21T10:47:00Z</cp:lastPrinted>
  <dcterms:created xsi:type="dcterms:W3CDTF">2024-09-30T15:28:00Z</dcterms:created>
  <dcterms:modified xsi:type="dcterms:W3CDTF">2024-09-30T15:38:00Z</dcterms:modified>
</cp:coreProperties>
</file>